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Pablo Ulpiano González Castro</w:t>
      </w:r>
    </w:p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AI Availability as a Third Measurable Layer of Brand Availability: Five-Substrate Empirical Anchoring of the AIAS Presence Measurement Protocol</w:t>
      </w:r>
    </w:p>
    <w:p>
      <w:pPr>
        <w:pStyle w:val="BodyText"/>
      </w:pPr>
      <w:r>
        <w:rPr>
          <w:b/>
          <w:bCs/>
        </w:rPr>
        <w:t xml:space="preserve">Running head:</w:t>
      </w:r>
      <w:r>
        <w:t xml:space="preserve"> </w:t>
      </w:r>
      <w:r>
        <w:t xml:space="preserve">AI Availability: Five-Substrate AIAS Anchor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Pablo Ulpiano González Castro</w:t>
      </w:r>
    </w:p>
    <w:p>
      <w:pPr>
        <w:pStyle w:val="BodyText"/>
      </w:pPr>
      <w:r>
        <w:rPr>
          <w:b/>
          <w:bCs/>
        </w:rPr>
        <w:t xml:space="preserve">Affiliations:</w:t>
      </w:r>
      <w:r>
        <w:t xml:space="preserve"> </w:t>
      </w:r>
      <w:r>
        <w:t xml:space="preserve">School of Visual Arts, MPS Branding Program, New York, NY (primary academic affiliation)</w:t>
      </w:r>
      <w:r>
        <w:t xml:space="preserve"> </w:t>
      </w:r>
      <w:r>
        <w:t xml:space="preserve">Third System (research entity; data archive and methodology venue)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Pablo Ulpiano González Castro</w:t>
      </w:r>
      <w:r>
        <w:t xml:space="preserve"> </w:t>
      </w:r>
      <w:r>
        <w:t xml:space="preserve">Email: pablou@pablou.com</w:t>
      </w:r>
      <w:r>
        <w:t xml:space="preserve"> </w:t>
      </w:r>
      <w:r>
        <w:t xml:space="preserve">ORCID: 0009-0003-8968-9990 (https://orcid.org/0009-0003-8968-9990)</w:t>
      </w:r>
    </w:p>
    <w:p>
      <w:pPr>
        <w:pStyle w:val="BodyText"/>
      </w:pPr>
      <w:r>
        <w:rPr>
          <w:b/>
          <w:bCs/>
        </w:rPr>
        <w:t xml:space="preserve">Manuscript metrics:</w:t>
      </w:r>
      <w:r>
        <w:t xml:space="preserve"> </w:t>
      </w:r>
      <w:r>
        <w:t xml:space="preserve">Word count: 5,303 (body + abstract + Management Slant, excluding references and declarations)</w:t>
      </w:r>
      <w:r>
        <w:t xml:space="preserve"> </w:t>
      </w:r>
      <w:r>
        <w:t xml:space="preserve">Number of figures: 3</w:t>
      </w:r>
      <w:r>
        <w:t xml:space="preserve"> </w:t>
      </w:r>
      <w:r>
        <w:t xml:space="preserve">Number of tables: 0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AI availability; brand availability; Ehrenberg-Bass; pre-registered measurement; AI-mediated retrieval; Identity Load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Ulpiano González Castro</dc:creator>
  <cp:keywords/>
  <dcterms:created xsi:type="dcterms:W3CDTF">2026-05-25T00:33:04Z</dcterms:created>
  <dcterms:modified xsi:type="dcterms:W3CDTF">2026-05-25T00:33:04Z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