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14DDA" w14:textId="54F2FFF9" w:rsidR="00E72FC2" w:rsidRPr="007F54C0" w:rsidRDefault="00000000">
      <w:pPr>
        <w:rPr>
          <w:color w:val="000000" w:themeColor="text1"/>
        </w:rPr>
      </w:pPr>
      <w:r w:rsidRPr="007F54C0">
        <w:rPr>
          <w:b/>
          <w:color w:val="000000" w:themeColor="text1"/>
          <w:sz w:val="36"/>
        </w:rPr>
        <w:t>Modelling a Defined Benefit Pension Scheme:</w:t>
      </w:r>
      <w:r w:rsidRPr="007F54C0">
        <w:rPr>
          <w:b/>
          <w:color w:val="000000" w:themeColor="text1"/>
          <w:sz w:val="36"/>
        </w:rPr>
        <w:br/>
        <w:t>Funding, Valuation and the Endgame Decision</w:t>
      </w:r>
    </w:p>
    <w:p w14:paraId="347478F1" w14:textId="77777777" w:rsidR="00E72FC2" w:rsidRPr="007F54C0" w:rsidRDefault="00000000">
      <w:pPr>
        <w:pStyle w:val="Heading1"/>
        <w:spacing w:before="240" w:after="80"/>
        <w:rPr>
          <w:color w:val="000000" w:themeColor="text1"/>
        </w:rPr>
      </w:pPr>
      <w:r w:rsidRPr="007F54C0">
        <w:rPr>
          <w:color w:val="000000" w:themeColor="text1"/>
        </w:rPr>
        <w:t>Summary</w:t>
      </w:r>
    </w:p>
    <w:p w14:paraId="735079BC" w14:textId="0070ADF5" w:rsidR="00E72FC2" w:rsidRDefault="00E540E7">
      <w:pPr>
        <w:spacing w:after="120"/>
      </w:pPr>
      <w:r>
        <w:t xml:space="preserve">In this project, I built a model of a closed, mature UK defined benefit (DB) pension scheme to answer a practical question that trustees actually face: </w:t>
      </w:r>
      <w:r>
        <w:rPr>
          <w:b/>
        </w:rPr>
        <w:t>should the scheme aim to buy out with an insurer, or run on and share its surplus?</w:t>
      </w:r>
      <w:r>
        <w:t xml:space="preserve">  The model projects the pensions the scheme expects to pay for the next 70 years, values them on three different bases, and then simulates the scheme's assets and liabilities forward 5,000 times to see how the funding position might evolve.</w:t>
      </w:r>
    </w:p>
    <w:p w14:paraId="715B065F" w14:textId="231BAD07" w:rsidR="00E72FC2" w:rsidRDefault="00000000">
      <w:pPr>
        <w:spacing w:after="120"/>
      </w:pPr>
      <w:r>
        <w:t xml:space="preserve">The headline result is that buy-out looks affordable at a </w:t>
      </w:r>
      <w:r>
        <w:rPr>
          <w:b/>
        </w:rPr>
        <w:t>median of 4 years</w:t>
      </w:r>
      <w:r>
        <w:t>, but the timing is very uncertain</w:t>
      </w:r>
      <w:r w:rsidR="00E540E7">
        <w:t>. T</w:t>
      </w:r>
      <w:r>
        <w:t xml:space="preserve">he middle half of simulations reach it anywhere between 2 and 8 years, and 14% never reach it within 20 years. Running on instead releases about </w:t>
      </w:r>
      <w:r>
        <w:rPr>
          <w:b/>
        </w:rPr>
        <w:t>£70m</w:t>
      </w:r>
      <w:r>
        <w:t xml:space="preserve"> of surplus on average, but with a real chance of dropping back below the low-dependency funding level. </w:t>
      </w:r>
      <w:r w:rsidR="00E540E7">
        <w:t>This</w:t>
      </w:r>
      <w:r>
        <w:t xml:space="preserve"> report is to show that a single funding number hides this uncertainty, and that showing the whole distribution is what makes the analysis useful.</w:t>
      </w:r>
    </w:p>
    <w:p w14:paraId="4C106C10" w14:textId="77777777" w:rsidR="00E72FC2" w:rsidRPr="007F54C0" w:rsidRDefault="00000000">
      <w:pPr>
        <w:pStyle w:val="Heading1"/>
        <w:spacing w:before="240" w:after="80"/>
        <w:rPr>
          <w:color w:val="000000" w:themeColor="text1"/>
        </w:rPr>
      </w:pPr>
      <w:r w:rsidRPr="007F54C0">
        <w:rPr>
          <w:color w:val="000000" w:themeColor="text1"/>
        </w:rPr>
        <w:t>1.  Introduction</w:t>
      </w:r>
    </w:p>
    <w:p w14:paraId="2D0E7DE7" w14:textId="27B5EA38" w:rsidR="00E72FC2" w:rsidRPr="007F54C0" w:rsidRDefault="00000000">
      <w:pPr>
        <w:spacing w:after="120"/>
        <w:rPr>
          <w:color w:val="000000" w:themeColor="text1"/>
        </w:rPr>
      </w:pPr>
      <w:r w:rsidRPr="007F54C0">
        <w:rPr>
          <w:color w:val="000000" w:themeColor="text1"/>
        </w:rPr>
        <w:t>A DB pension scheme promises members a pension based on their salary and service. The scheme holds assets to pay those pensions</w:t>
      </w:r>
      <w:r w:rsidR="00E540E7" w:rsidRPr="007F54C0">
        <w:rPr>
          <w:color w:val="000000" w:themeColor="text1"/>
        </w:rPr>
        <w:t xml:space="preserve"> liable to their members</w:t>
      </w:r>
      <w:r w:rsidRPr="007F54C0">
        <w:rPr>
          <w:color w:val="000000" w:themeColor="text1"/>
        </w:rPr>
        <w:t xml:space="preserve">. The </w:t>
      </w:r>
      <w:r w:rsidRPr="007F54C0">
        <w:rPr>
          <w:b/>
          <w:color w:val="000000" w:themeColor="text1"/>
        </w:rPr>
        <w:t>funding level</w:t>
      </w:r>
      <w:r w:rsidRPr="007F54C0">
        <w:rPr>
          <w:color w:val="000000" w:themeColor="text1"/>
        </w:rPr>
        <w:t xml:space="preserve"> is just assets divided by the value of the promises (the </w:t>
      </w:r>
      <w:r w:rsidRPr="007F54C0">
        <w:rPr>
          <w:b/>
          <w:color w:val="000000" w:themeColor="text1"/>
        </w:rPr>
        <w:t>liabilities</w:t>
      </w:r>
      <w:r w:rsidRPr="007F54C0">
        <w:rPr>
          <w:color w:val="000000" w:themeColor="text1"/>
        </w:rPr>
        <w:t xml:space="preserve">). Most UK DB schemes are now closed to new members and quite mature, which means they are winding down </w:t>
      </w:r>
      <w:r w:rsidR="00E540E7" w:rsidRPr="007F54C0">
        <w:rPr>
          <w:color w:val="000000" w:themeColor="text1"/>
        </w:rPr>
        <w:t>(</w:t>
      </w:r>
      <w:r w:rsidRPr="007F54C0">
        <w:rPr>
          <w:color w:val="000000" w:themeColor="text1"/>
        </w:rPr>
        <w:t>more money is going out in pensions than coming in</w:t>
      </w:r>
      <w:r w:rsidR="00E540E7" w:rsidRPr="007F54C0">
        <w:rPr>
          <w:color w:val="000000" w:themeColor="text1"/>
        </w:rPr>
        <w:t>)</w:t>
      </w:r>
      <w:r w:rsidRPr="007F54C0">
        <w:rPr>
          <w:color w:val="000000" w:themeColor="text1"/>
        </w:rPr>
        <w:t>. The big strategic question for these schemes is the “endgame” – how to finish safely.</w:t>
      </w:r>
    </w:p>
    <w:p w14:paraId="2000C376" w14:textId="77777777" w:rsidR="00E72FC2" w:rsidRPr="007F54C0" w:rsidRDefault="00000000">
      <w:pPr>
        <w:spacing w:after="120"/>
        <w:rPr>
          <w:color w:val="000000" w:themeColor="text1"/>
        </w:rPr>
      </w:pPr>
      <w:r w:rsidRPr="007F54C0">
        <w:rPr>
          <w:color w:val="000000" w:themeColor="text1"/>
        </w:rPr>
        <w:t>There are two main endgame routes:</w:t>
      </w:r>
    </w:p>
    <w:p w14:paraId="585756B7" w14:textId="77777777" w:rsidR="00E72FC2" w:rsidRPr="007F54C0" w:rsidRDefault="00000000">
      <w:pPr>
        <w:pStyle w:val="ListBullet"/>
        <w:spacing w:after="40"/>
        <w:rPr>
          <w:color w:val="000000" w:themeColor="text1"/>
        </w:rPr>
      </w:pPr>
      <w:r w:rsidRPr="007F54C0">
        <w:rPr>
          <w:b/>
          <w:color w:val="000000" w:themeColor="text1"/>
        </w:rPr>
        <w:t xml:space="preserve">Buy-out: </w:t>
      </w:r>
      <w:r w:rsidRPr="007F54C0">
        <w:rPr>
          <w:color w:val="000000" w:themeColor="text1"/>
        </w:rPr>
        <w:t>pay an insurance company to take over all the pensions. This removes all risk but is expensive.</w:t>
      </w:r>
    </w:p>
    <w:p w14:paraId="29A683F2" w14:textId="77777777" w:rsidR="00E72FC2" w:rsidRPr="007F54C0" w:rsidRDefault="00000000">
      <w:pPr>
        <w:pStyle w:val="ListBullet"/>
        <w:spacing w:after="40"/>
        <w:rPr>
          <w:color w:val="000000" w:themeColor="text1"/>
        </w:rPr>
      </w:pPr>
      <w:r w:rsidRPr="007F54C0">
        <w:rPr>
          <w:b/>
          <w:color w:val="000000" w:themeColor="text1"/>
        </w:rPr>
        <w:t xml:space="preserve">Run-on: </w:t>
      </w:r>
      <w:r w:rsidRPr="007F54C0">
        <w:rPr>
          <w:color w:val="000000" w:themeColor="text1"/>
        </w:rPr>
        <w:t>keep the scheme going, stay invested, and pay the pensions yourself – potentially generating surplus to share, but keeping the risk.</w:t>
      </w:r>
    </w:p>
    <w:p w14:paraId="7420B01B" w14:textId="77777777" w:rsidR="00E72FC2" w:rsidRPr="007F54C0" w:rsidRDefault="00000000">
      <w:pPr>
        <w:spacing w:after="120"/>
        <w:rPr>
          <w:color w:val="000000" w:themeColor="text1"/>
        </w:rPr>
      </w:pPr>
      <w:r w:rsidRPr="007F54C0">
        <w:rPr>
          <w:color w:val="000000" w:themeColor="text1"/>
        </w:rPr>
        <w:t>I wanted to model both and compare them properly, using probabilities rather than a single best guess.</w:t>
      </w:r>
    </w:p>
    <w:p w14:paraId="2510E9CE" w14:textId="77777777" w:rsidR="00E72FC2" w:rsidRPr="007F54C0" w:rsidRDefault="00000000">
      <w:pPr>
        <w:pStyle w:val="Heading1"/>
        <w:spacing w:before="240" w:after="80"/>
        <w:rPr>
          <w:color w:val="000000" w:themeColor="text1"/>
        </w:rPr>
      </w:pPr>
      <w:r w:rsidRPr="007F54C0">
        <w:rPr>
          <w:color w:val="000000" w:themeColor="text1"/>
        </w:rPr>
        <w:t>2.  Scope: what I did and didn't model</w:t>
      </w:r>
    </w:p>
    <w:p w14:paraId="629F1ECC" w14:textId="77777777" w:rsidR="00E72FC2" w:rsidRPr="007F54C0" w:rsidRDefault="00000000">
      <w:pPr>
        <w:pStyle w:val="Heading2"/>
        <w:spacing w:before="160" w:after="40"/>
        <w:rPr>
          <w:color w:val="000000" w:themeColor="text1"/>
        </w:rPr>
      </w:pPr>
      <w:r w:rsidRPr="007F54C0">
        <w:rPr>
          <w:color w:val="000000" w:themeColor="text1"/>
          <w:sz w:val="23"/>
        </w:rPr>
        <w:t>In scope</w:t>
      </w:r>
    </w:p>
    <w:p w14:paraId="0D6D5E64" w14:textId="77777777" w:rsidR="00E72FC2" w:rsidRPr="007F54C0" w:rsidRDefault="00000000">
      <w:pPr>
        <w:pStyle w:val="ListBullet"/>
        <w:spacing w:after="40"/>
        <w:rPr>
          <w:color w:val="000000" w:themeColor="text1"/>
        </w:rPr>
      </w:pPr>
      <w:r w:rsidRPr="007F54C0">
        <w:rPr>
          <w:color w:val="000000" w:themeColor="text1"/>
        </w:rPr>
        <w:t>A closed scheme with no future benefit build-up (so no salary projection needed)</w:t>
      </w:r>
    </w:p>
    <w:p w14:paraId="37CAD37B" w14:textId="77777777" w:rsidR="00E72FC2" w:rsidRPr="007F54C0" w:rsidRDefault="00000000">
      <w:pPr>
        <w:pStyle w:val="ListBullet"/>
        <w:spacing w:after="40"/>
        <w:rPr>
          <w:color w:val="000000" w:themeColor="text1"/>
        </w:rPr>
      </w:pPr>
      <w:r w:rsidRPr="007F54C0">
        <w:rPr>
          <w:color w:val="000000" w:themeColor="text1"/>
        </w:rPr>
        <w:t>Deferred members (not yet retired) and pensioners (retired) only</w:t>
      </w:r>
    </w:p>
    <w:p w14:paraId="7B1FF583" w14:textId="77777777" w:rsidR="00E72FC2" w:rsidRPr="007F54C0" w:rsidRDefault="00000000">
      <w:pPr>
        <w:pStyle w:val="ListBullet"/>
        <w:spacing w:after="40"/>
        <w:rPr>
          <w:color w:val="000000" w:themeColor="text1"/>
        </w:rPr>
      </w:pPr>
      <w:r w:rsidRPr="007F54C0">
        <w:rPr>
          <w:color w:val="000000" w:themeColor="text1"/>
        </w:rPr>
        <w:t>A contingent spouse's pension, using an assumed proportion married</w:t>
      </w:r>
    </w:p>
    <w:p w14:paraId="141AAF02" w14:textId="77777777" w:rsidR="00E72FC2" w:rsidRPr="007F54C0" w:rsidRDefault="00000000">
      <w:pPr>
        <w:pStyle w:val="ListBullet"/>
        <w:spacing w:after="40"/>
        <w:rPr>
          <w:color w:val="000000" w:themeColor="text1"/>
        </w:rPr>
      </w:pPr>
      <w:r w:rsidRPr="007F54C0">
        <w:rPr>
          <w:color w:val="000000" w:themeColor="text1"/>
        </w:rPr>
        <w:t>Three valuation bases: technical provisions, low dependency, and buy-out</w:t>
      </w:r>
    </w:p>
    <w:p w14:paraId="5EB8A27C" w14:textId="77777777" w:rsidR="00E72FC2" w:rsidRPr="007F54C0" w:rsidRDefault="00000000">
      <w:pPr>
        <w:pStyle w:val="ListBullet"/>
        <w:spacing w:after="40"/>
        <w:rPr>
          <w:color w:val="000000" w:themeColor="text1"/>
        </w:rPr>
      </w:pPr>
      <w:r w:rsidRPr="007F54C0">
        <w:rPr>
          <w:color w:val="000000" w:themeColor="text1"/>
        </w:rPr>
        <w:t>Annual steps, a 70-year projection, and 5,000 simulations over 20 years</w:t>
      </w:r>
    </w:p>
    <w:p w14:paraId="6C3E692D" w14:textId="77777777" w:rsidR="00E72FC2" w:rsidRPr="007F54C0" w:rsidRDefault="00000000">
      <w:pPr>
        <w:pStyle w:val="Heading2"/>
        <w:spacing w:before="160" w:after="40"/>
        <w:rPr>
          <w:color w:val="000000" w:themeColor="text1"/>
        </w:rPr>
      </w:pPr>
      <w:r w:rsidRPr="007F54C0">
        <w:rPr>
          <w:color w:val="000000" w:themeColor="text1"/>
          <w:sz w:val="23"/>
        </w:rPr>
        <w:t>Out of scope (stated as simplifications)</w:t>
      </w:r>
    </w:p>
    <w:p w14:paraId="3155E666" w14:textId="45A1C597" w:rsidR="00E72FC2" w:rsidRPr="007F54C0" w:rsidRDefault="00000000">
      <w:pPr>
        <w:pStyle w:val="ListBullet"/>
        <w:spacing w:after="40"/>
        <w:rPr>
          <w:color w:val="000000" w:themeColor="text1"/>
        </w:rPr>
      </w:pPr>
      <w:r w:rsidRPr="007F54C0">
        <w:rPr>
          <w:color w:val="000000" w:themeColor="text1"/>
        </w:rPr>
        <w:t>GMP equalisation and conversion</w:t>
      </w:r>
      <w:r w:rsidR="00E540E7" w:rsidRPr="007F54C0">
        <w:rPr>
          <w:color w:val="000000" w:themeColor="text1"/>
        </w:rPr>
        <w:t xml:space="preserve"> (which is a major actuarial work by pension actuary)</w:t>
      </w:r>
    </w:p>
    <w:p w14:paraId="4774A50E" w14:textId="554CFF9D" w:rsidR="00E72FC2" w:rsidRPr="007F54C0" w:rsidRDefault="00000000">
      <w:pPr>
        <w:pStyle w:val="ListBullet"/>
        <w:spacing w:after="40"/>
        <w:rPr>
          <w:color w:val="000000" w:themeColor="text1"/>
        </w:rPr>
      </w:pPr>
      <w:r w:rsidRPr="007F54C0">
        <w:rPr>
          <w:color w:val="000000" w:themeColor="text1"/>
        </w:rPr>
        <w:t>Member options</w:t>
      </w:r>
      <w:r w:rsidR="00503FFE" w:rsidRPr="007F54C0">
        <w:rPr>
          <w:color w:val="000000" w:themeColor="text1"/>
        </w:rPr>
        <w:t xml:space="preserve"> including </w:t>
      </w:r>
      <w:r w:rsidRPr="007F54C0">
        <w:rPr>
          <w:color w:val="000000" w:themeColor="text1"/>
        </w:rPr>
        <w:t>swapping pension for cash, transfers out, early/late retirement</w:t>
      </w:r>
      <w:r w:rsidR="00503FFE" w:rsidRPr="007F54C0">
        <w:rPr>
          <w:color w:val="000000" w:themeColor="text1"/>
        </w:rPr>
        <w:t xml:space="preserve"> etc</w:t>
      </w:r>
    </w:p>
    <w:p w14:paraId="60ECE74C" w14:textId="471A8A10" w:rsidR="00E72FC2" w:rsidRPr="007F54C0" w:rsidRDefault="00000000">
      <w:pPr>
        <w:pStyle w:val="ListBullet"/>
        <w:spacing w:after="40"/>
        <w:rPr>
          <w:color w:val="000000" w:themeColor="text1"/>
        </w:rPr>
      </w:pPr>
      <w:r w:rsidRPr="007F54C0">
        <w:rPr>
          <w:color w:val="000000" w:themeColor="text1"/>
        </w:rPr>
        <w:t>Ill-health</w:t>
      </w:r>
      <w:r w:rsidR="00E540E7" w:rsidRPr="007F54C0">
        <w:rPr>
          <w:color w:val="000000" w:themeColor="text1"/>
        </w:rPr>
        <w:t>-death</w:t>
      </w:r>
      <w:r w:rsidRPr="007F54C0">
        <w:rPr>
          <w:color w:val="000000" w:themeColor="text1"/>
        </w:rPr>
        <w:t xml:space="preserve"> </w:t>
      </w:r>
      <w:r w:rsidR="00E540E7" w:rsidRPr="007F54C0">
        <w:rPr>
          <w:color w:val="000000" w:themeColor="text1"/>
        </w:rPr>
        <w:t>transition benefit</w:t>
      </w:r>
    </w:p>
    <w:p w14:paraId="7B7226F2" w14:textId="0BC12F63" w:rsidR="00E72FC2" w:rsidRPr="007F54C0" w:rsidRDefault="00000000">
      <w:pPr>
        <w:pStyle w:val="ListBullet"/>
        <w:spacing w:after="40"/>
        <w:rPr>
          <w:color w:val="000000" w:themeColor="text1"/>
        </w:rPr>
      </w:pPr>
      <w:r w:rsidRPr="007F54C0">
        <w:rPr>
          <w:color w:val="000000" w:themeColor="text1"/>
        </w:rPr>
        <w:t>Monthly payment timing</w:t>
      </w:r>
    </w:p>
    <w:p w14:paraId="654D1809" w14:textId="3CE130E7" w:rsidR="00E72FC2" w:rsidRPr="007F54C0" w:rsidRDefault="00000000">
      <w:pPr>
        <w:pStyle w:val="ListBullet"/>
        <w:spacing w:after="40"/>
        <w:rPr>
          <w:color w:val="000000" w:themeColor="text1"/>
        </w:rPr>
      </w:pPr>
      <w:r w:rsidRPr="007F54C0">
        <w:rPr>
          <w:color w:val="000000" w:themeColor="text1"/>
        </w:rPr>
        <w:t>Tax</w:t>
      </w:r>
      <w:r w:rsidR="00E540E7" w:rsidRPr="007F54C0">
        <w:rPr>
          <w:color w:val="000000" w:themeColor="text1"/>
        </w:rPr>
        <w:t>ation</w:t>
      </w:r>
    </w:p>
    <w:p w14:paraId="599FF081" w14:textId="77777777" w:rsidR="00E72FC2" w:rsidRPr="007F54C0" w:rsidRDefault="00000000">
      <w:pPr>
        <w:pStyle w:val="Heading1"/>
        <w:spacing w:before="240" w:after="80"/>
        <w:rPr>
          <w:color w:val="000000" w:themeColor="text1"/>
        </w:rPr>
      </w:pPr>
      <w:r w:rsidRPr="007F54C0">
        <w:rPr>
          <w:color w:val="000000" w:themeColor="text1"/>
        </w:rPr>
        <w:t>3.  Data</w:t>
      </w:r>
    </w:p>
    <w:p w14:paraId="67DA5988" w14:textId="77777777" w:rsidR="00E72FC2" w:rsidRPr="007F54C0" w:rsidRDefault="00000000">
      <w:pPr>
        <w:spacing w:after="120"/>
        <w:rPr>
          <w:color w:val="000000" w:themeColor="text1"/>
        </w:rPr>
      </w:pPr>
      <w:r w:rsidRPr="007F54C0">
        <w:rPr>
          <w:color w:val="000000" w:themeColor="text1"/>
        </w:rPr>
        <w:t>The model uses public data sources (or realistic stand-ins calibrated to them):</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948"/>
        <w:gridCol w:w="2608"/>
        <w:gridCol w:w="3175"/>
      </w:tblGrid>
      <w:tr w:rsidR="00E72FC2" w14:paraId="0CDBFF32" w14:textId="77777777">
        <w:trPr>
          <w:jc w:val="center"/>
        </w:trPr>
        <w:tc>
          <w:tcPr>
            <w:tcW w:w="2948" w:type="dxa"/>
            <w:shd w:val="clear" w:color="auto" w:fill="1F3A5F"/>
          </w:tcPr>
          <w:p w14:paraId="3EA999FD" w14:textId="77777777" w:rsidR="00E72FC2" w:rsidRDefault="00000000">
            <w:pPr>
              <w:spacing w:before="20" w:after="20"/>
            </w:pPr>
            <w:r>
              <w:rPr>
                <w:b/>
                <w:color w:val="FFFFFF"/>
                <w:sz w:val="17"/>
              </w:rPr>
              <w:lastRenderedPageBreak/>
              <w:t>What</w:t>
            </w:r>
          </w:p>
        </w:tc>
        <w:tc>
          <w:tcPr>
            <w:tcW w:w="2608" w:type="dxa"/>
            <w:shd w:val="clear" w:color="auto" w:fill="1F3A5F"/>
          </w:tcPr>
          <w:p w14:paraId="0B8541C0" w14:textId="77777777" w:rsidR="00E72FC2" w:rsidRDefault="00000000">
            <w:pPr>
              <w:spacing w:before="20" w:after="20"/>
            </w:pPr>
            <w:r>
              <w:rPr>
                <w:b/>
                <w:color w:val="FFFFFF"/>
                <w:sz w:val="17"/>
              </w:rPr>
              <w:t>Source</w:t>
            </w:r>
          </w:p>
        </w:tc>
        <w:tc>
          <w:tcPr>
            <w:tcW w:w="3175" w:type="dxa"/>
            <w:shd w:val="clear" w:color="auto" w:fill="1F3A5F"/>
          </w:tcPr>
          <w:p w14:paraId="12381721" w14:textId="77777777" w:rsidR="00E72FC2" w:rsidRDefault="00000000">
            <w:pPr>
              <w:spacing w:before="20" w:after="20"/>
            </w:pPr>
            <w:r>
              <w:rPr>
                <w:b/>
                <w:color w:val="FFFFFF"/>
                <w:sz w:val="17"/>
              </w:rPr>
              <w:t>Used for</w:t>
            </w:r>
          </w:p>
        </w:tc>
      </w:tr>
      <w:tr w:rsidR="00E72FC2" w14:paraId="25D24394" w14:textId="77777777">
        <w:trPr>
          <w:jc w:val="center"/>
        </w:trPr>
        <w:tc>
          <w:tcPr>
            <w:tcW w:w="2948" w:type="dxa"/>
            <w:shd w:val="clear" w:color="auto" w:fill="FFFFFF"/>
          </w:tcPr>
          <w:p w14:paraId="6ED9C919" w14:textId="77777777" w:rsidR="00E72FC2" w:rsidRDefault="00000000">
            <w:pPr>
              <w:spacing w:before="20" w:after="20"/>
            </w:pPr>
            <w:r>
              <w:rPr>
                <w:b/>
                <w:sz w:val="17"/>
              </w:rPr>
              <w:t>Gilt yield curves (nominal &amp; real)</w:t>
            </w:r>
          </w:p>
        </w:tc>
        <w:tc>
          <w:tcPr>
            <w:tcW w:w="2608" w:type="dxa"/>
            <w:shd w:val="clear" w:color="auto" w:fill="FFFFFF"/>
          </w:tcPr>
          <w:p w14:paraId="3404BD2B" w14:textId="77777777" w:rsidR="00E72FC2" w:rsidRDefault="00000000">
            <w:pPr>
              <w:spacing w:before="20" w:after="20"/>
            </w:pPr>
            <w:r>
              <w:rPr>
                <w:sz w:val="17"/>
              </w:rPr>
              <w:t>Bank of England</w:t>
            </w:r>
          </w:p>
        </w:tc>
        <w:tc>
          <w:tcPr>
            <w:tcW w:w="3175" w:type="dxa"/>
            <w:shd w:val="clear" w:color="auto" w:fill="FFFFFF"/>
          </w:tcPr>
          <w:p w14:paraId="34D9E27A" w14:textId="77777777" w:rsidR="00E72FC2" w:rsidRDefault="00000000">
            <w:pPr>
              <w:spacing w:before="20" w:after="20"/>
            </w:pPr>
            <w:r>
              <w:rPr>
                <w:sz w:val="17"/>
              </w:rPr>
              <w:t>The discount rates</w:t>
            </w:r>
          </w:p>
        </w:tc>
      </w:tr>
      <w:tr w:rsidR="00E72FC2" w14:paraId="18FF34B4" w14:textId="77777777">
        <w:trPr>
          <w:jc w:val="center"/>
        </w:trPr>
        <w:tc>
          <w:tcPr>
            <w:tcW w:w="2948" w:type="dxa"/>
            <w:shd w:val="clear" w:color="auto" w:fill="FFFFFF"/>
          </w:tcPr>
          <w:p w14:paraId="0E7755C4" w14:textId="77777777" w:rsidR="00E72FC2" w:rsidRDefault="00000000">
            <w:pPr>
              <w:spacing w:before="20" w:after="20"/>
            </w:pPr>
            <w:r>
              <w:rPr>
                <w:b/>
                <w:sz w:val="17"/>
              </w:rPr>
              <w:t>Implied inflation</w:t>
            </w:r>
          </w:p>
        </w:tc>
        <w:tc>
          <w:tcPr>
            <w:tcW w:w="2608" w:type="dxa"/>
            <w:shd w:val="clear" w:color="auto" w:fill="FFFFFF"/>
          </w:tcPr>
          <w:p w14:paraId="1322013E" w14:textId="77777777" w:rsidR="00E72FC2" w:rsidRDefault="00000000">
            <w:pPr>
              <w:spacing w:before="20" w:after="20"/>
            </w:pPr>
            <w:r>
              <w:rPr>
                <w:sz w:val="17"/>
              </w:rPr>
              <w:t>Nominal minus real gilts</w:t>
            </w:r>
          </w:p>
        </w:tc>
        <w:tc>
          <w:tcPr>
            <w:tcW w:w="3175" w:type="dxa"/>
            <w:shd w:val="clear" w:color="auto" w:fill="FFFFFF"/>
          </w:tcPr>
          <w:p w14:paraId="1A96747A" w14:textId="77777777" w:rsidR="00E72FC2" w:rsidRDefault="00000000">
            <w:pPr>
              <w:spacing w:before="20" w:after="20"/>
            </w:pPr>
            <w:r>
              <w:rPr>
                <w:sz w:val="17"/>
              </w:rPr>
              <w:t>Projecting pension increases</w:t>
            </w:r>
          </w:p>
        </w:tc>
      </w:tr>
      <w:tr w:rsidR="00E72FC2" w14:paraId="67331031" w14:textId="77777777">
        <w:trPr>
          <w:jc w:val="center"/>
        </w:trPr>
        <w:tc>
          <w:tcPr>
            <w:tcW w:w="2948" w:type="dxa"/>
            <w:shd w:val="clear" w:color="auto" w:fill="FFFFFF"/>
          </w:tcPr>
          <w:p w14:paraId="1195A2B4" w14:textId="77777777" w:rsidR="00E72FC2" w:rsidRDefault="00000000">
            <w:pPr>
              <w:spacing w:before="20" w:after="20"/>
            </w:pPr>
            <w:r>
              <w:rPr>
                <w:b/>
                <w:sz w:val="17"/>
              </w:rPr>
              <w:t>Scheme demographics, hedging</w:t>
            </w:r>
          </w:p>
        </w:tc>
        <w:tc>
          <w:tcPr>
            <w:tcW w:w="2608" w:type="dxa"/>
            <w:shd w:val="clear" w:color="auto" w:fill="FFFFFF"/>
          </w:tcPr>
          <w:p w14:paraId="348F878B" w14:textId="77777777" w:rsidR="00E72FC2" w:rsidRDefault="00000000">
            <w:pPr>
              <w:spacing w:before="20" w:after="20"/>
            </w:pPr>
            <w:r>
              <w:rPr>
                <w:sz w:val="17"/>
              </w:rPr>
              <w:t>PPF Purple Book</w:t>
            </w:r>
          </w:p>
        </w:tc>
        <w:tc>
          <w:tcPr>
            <w:tcW w:w="3175" w:type="dxa"/>
            <w:shd w:val="clear" w:color="auto" w:fill="FFFFFF"/>
          </w:tcPr>
          <w:p w14:paraId="014FA329" w14:textId="77777777" w:rsidR="00E72FC2" w:rsidRDefault="00000000">
            <w:pPr>
              <w:spacing w:before="20" w:after="20"/>
            </w:pPr>
            <w:r>
              <w:rPr>
                <w:sz w:val="17"/>
              </w:rPr>
              <w:t>Calibrating the synthetic scheme</w:t>
            </w:r>
          </w:p>
        </w:tc>
      </w:tr>
      <w:tr w:rsidR="00E72FC2" w14:paraId="20919E97" w14:textId="77777777">
        <w:trPr>
          <w:jc w:val="center"/>
        </w:trPr>
        <w:tc>
          <w:tcPr>
            <w:tcW w:w="2948" w:type="dxa"/>
            <w:shd w:val="clear" w:color="auto" w:fill="FFFFFF"/>
          </w:tcPr>
          <w:p w14:paraId="2D011FC3" w14:textId="77777777" w:rsidR="00E72FC2" w:rsidRDefault="00000000">
            <w:pPr>
              <w:spacing w:before="20" w:after="20"/>
            </w:pPr>
            <w:r>
              <w:rPr>
                <w:b/>
                <w:sz w:val="17"/>
              </w:rPr>
              <w:t>Funding levels (sanity check)</w:t>
            </w:r>
          </w:p>
        </w:tc>
        <w:tc>
          <w:tcPr>
            <w:tcW w:w="2608" w:type="dxa"/>
            <w:shd w:val="clear" w:color="auto" w:fill="FFFFFF"/>
          </w:tcPr>
          <w:p w14:paraId="1F2C59BA" w14:textId="77777777" w:rsidR="00E72FC2" w:rsidRDefault="00000000">
            <w:pPr>
              <w:spacing w:before="20" w:after="20"/>
            </w:pPr>
            <w:r>
              <w:rPr>
                <w:sz w:val="17"/>
              </w:rPr>
              <w:t>PPF 7800 index</w:t>
            </w:r>
          </w:p>
        </w:tc>
        <w:tc>
          <w:tcPr>
            <w:tcW w:w="3175" w:type="dxa"/>
            <w:shd w:val="clear" w:color="auto" w:fill="FFFFFF"/>
          </w:tcPr>
          <w:p w14:paraId="037AFEE7" w14:textId="77777777" w:rsidR="00E72FC2" w:rsidRDefault="00000000">
            <w:pPr>
              <w:spacing w:before="20" w:after="20"/>
            </w:pPr>
            <w:r>
              <w:rPr>
                <w:sz w:val="17"/>
              </w:rPr>
              <w:t>Checking my starting funding level</w:t>
            </w:r>
          </w:p>
        </w:tc>
      </w:tr>
      <w:tr w:rsidR="00E72FC2" w14:paraId="5E8B4E94" w14:textId="77777777">
        <w:trPr>
          <w:jc w:val="center"/>
        </w:trPr>
        <w:tc>
          <w:tcPr>
            <w:tcW w:w="2948" w:type="dxa"/>
            <w:shd w:val="clear" w:color="auto" w:fill="FFFFFF"/>
          </w:tcPr>
          <w:p w14:paraId="0D7DC2F4" w14:textId="77777777" w:rsidR="00E72FC2" w:rsidRDefault="00000000">
            <w:pPr>
              <w:spacing w:before="20" w:after="20"/>
            </w:pPr>
            <w:r>
              <w:rPr>
                <w:b/>
                <w:sz w:val="17"/>
              </w:rPr>
              <w:t>Base mortality</w:t>
            </w:r>
          </w:p>
        </w:tc>
        <w:tc>
          <w:tcPr>
            <w:tcW w:w="2608" w:type="dxa"/>
            <w:shd w:val="clear" w:color="auto" w:fill="FFFFFF"/>
          </w:tcPr>
          <w:p w14:paraId="2CACB1AE" w14:textId="77777777" w:rsidR="00E72FC2" w:rsidRDefault="00000000">
            <w:pPr>
              <w:spacing w:before="20" w:after="20"/>
            </w:pPr>
            <w:r>
              <w:rPr>
                <w:sz w:val="17"/>
              </w:rPr>
              <w:t>ONS National Life Tables</w:t>
            </w:r>
          </w:p>
        </w:tc>
        <w:tc>
          <w:tcPr>
            <w:tcW w:w="3175" w:type="dxa"/>
            <w:shd w:val="clear" w:color="auto" w:fill="FFFFFF"/>
          </w:tcPr>
          <w:p w14:paraId="78292C09" w14:textId="77777777" w:rsidR="00E72FC2" w:rsidRDefault="00000000">
            <w:pPr>
              <w:spacing w:before="20" w:after="20"/>
            </w:pPr>
            <w:r>
              <w:rPr>
                <w:sz w:val="17"/>
              </w:rPr>
              <w:t>How long members live</w:t>
            </w:r>
          </w:p>
        </w:tc>
      </w:tr>
      <w:tr w:rsidR="00E72FC2" w14:paraId="4497AFD0" w14:textId="77777777">
        <w:trPr>
          <w:jc w:val="center"/>
        </w:trPr>
        <w:tc>
          <w:tcPr>
            <w:tcW w:w="2948" w:type="dxa"/>
            <w:shd w:val="clear" w:color="auto" w:fill="FFFFFF"/>
          </w:tcPr>
          <w:p w14:paraId="2152609B" w14:textId="77777777" w:rsidR="00E72FC2" w:rsidRDefault="00000000">
            <w:pPr>
              <w:spacing w:before="20" w:after="20"/>
            </w:pPr>
            <w:r>
              <w:rPr>
                <w:b/>
                <w:sz w:val="17"/>
              </w:rPr>
              <w:t>Mortality improvements</w:t>
            </w:r>
          </w:p>
        </w:tc>
        <w:tc>
          <w:tcPr>
            <w:tcW w:w="2608" w:type="dxa"/>
            <w:shd w:val="clear" w:color="auto" w:fill="FFFFFF"/>
          </w:tcPr>
          <w:p w14:paraId="7050CFCE" w14:textId="77777777" w:rsidR="00E72FC2" w:rsidRDefault="00000000">
            <w:pPr>
              <w:spacing w:before="20" w:after="20"/>
            </w:pPr>
            <w:r>
              <w:rPr>
                <w:sz w:val="17"/>
              </w:rPr>
              <w:t>CMI-style long-term rate</w:t>
            </w:r>
          </w:p>
        </w:tc>
        <w:tc>
          <w:tcPr>
            <w:tcW w:w="3175" w:type="dxa"/>
            <w:shd w:val="clear" w:color="auto" w:fill="FFFFFF"/>
          </w:tcPr>
          <w:p w14:paraId="67410633" w14:textId="77777777" w:rsidR="00E72FC2" w:rsidRDefault="00000000">
            <w:pPr>
              <w:spacing w:before="20" w:after="20"/>
            </w:pPr>
            <w:r>
              <w:rPr>
                <w:sz w:val="17"/>
              </w:rPr>
              <w:t>How longevity improves over time</w:t>
            </w:r>
          </w:p>
        </w:tc>
      </w:tr>
    </w:tbl>
    <w:p w14:paraId="0A409DE0" w14:textId="72EBDC8F" w:rsidR="00E72FC2" w:rsidRDefault="00000000">
      <w:pPr>
        <w:spacing w:after="120"/>
      </w:pPr>
      <w:r>
        <w:rPr>
          <w:b/>
        </w:rPr>
        <w:t xml:space="preserve">Note on mortality: </w:t>
      </w:r>
      <w:r>
        <w:t>the industry-standard scheme mortality tables (CMI S3PA) are not fully open, so I used ONS national life tables as a base and scaled mortality down to 92% to reflect the fact that pension scheme members tend to be wealthier and live longer than the general population.</w:t>
      </w:r>
    </w:p>
    <w:p w14:paraId="6BF54FA6" w14:textId="77777777" w:rsidR="00E72FC2" w:rsidRPr="007F54C0" w:rsidRDefault="00000000">
      <w:pPr>
        <w:pStyle w:val="Heading1"/>
        <w:spacing w:before="240" w:after="80"/>
        <w:rPr>
          <w:color w:val="000000" w:themeColor="text1"/>
        </w:rPr>
      </w:pPr>
      <w:r w:rsidRPr="007F54C0">
        <w:rPr>
          <w:color w:val="000000" w:themeColor="text1"/>
        </w:rPr>
        <w:t>4.  Method</w:t>
      </w:r>
    </w:p>
    <w:p w14:paraId="3CFD72C4" w14:textId="77777777" w:rsidR="00E72FC2" w:rsidRPr="007F54C0" w:rsidRDefault="00000000">
      <w:pPr>
        <w:pStyle w:val="Heading2"/>
        <w:spacing w:before="160" w:after="40"/>
        <w:rPr>
          <w:color w:val="000000" w:themeColor="text1"/>
        </w:rPr>
      </w:pPr>
      <w:r w:rsidRPr="007F54C0">
        <w:rPr>
          <w:color w:val="000000" w:themeColor="text1"/>
          <w:sz w:val="23"/>
        </w:rPr>
        <w:t>4.1  Building a synthetic scheme</w:t>
      </w:r>
    </w:p>
    <w:p w14:paraId="62288C90" w14:textId="77777777" w:rsidR="00E72FC2" w:rsidRPr="007F54C0" w:rsidRDefault="00000000">
      <w:pPr>
        <w:spacing w:after="120"/>
        <w:rPr>
          <w:color w:val="000000" w:themeColor="text1"/>
        </w:rPr>
      </w:pPr>
      <w:r w:rsidRPr="007F54C0">
        <w:rPr>
          <w:color w:val="000000" w:themeColor="text1"/>
        </w:rPr>
        <w:t xml:space="preserve">I generated a make-believe but realistic scheme of about 3,000 members (1,200 pensioners and 1,800 deferreds) with a fixed random seed, so anyone re-running the code gets exactly the same scheme. Ages, sexes and pension amounts follow sensible distributions. Each member's pension is split into three </w:t>
      </w:r>
      <w:r w:rsidRPr="007F54C0">
        <w:rPr>
          <w:b/>
          <w:color w:val="000000" w:themeColor="text1"/>
        </w:rPr>
        <w:t>tranches</w:t>
      </w:r>
      <w:r w:rsidRPr="007F54C0">
        <w:rPr>
          <w:color w:val="000000" w:themeColor="text1"/>
        </w:rPr>
        <w:t xml:space="preserve"> (pre-1997, 1997–2005, post-2005) because pensions earned in different periods increase by different rules each year – this matters a lot for the valuation.</w:t>
      </w:r>
    </w:p>
    <w:p w14:paraId="48A55577" w14:textId="77777777" w:rsidR="00E72FC2" w:rsidRPr="007F54C0" w:rsidRDefault="00000000">
      <w:pPr>
        <w:pStyle w:val="Heading2"/>
        <w:spacing w:before="160" w:after="40"/>
        <w:rPr>
          <w:color w:val="000000" w:themeColor="text1"/>
        </w:rPr>
      </w:pPr>
      <w:r w:rsidRPr="007F54C0">
        <w:rPr>
          <w:color w:val="000000" w:themeColor="text1"/>
          <w:sz w:val="23"/>
        </w:rPr>
        <w:t>4.2  How long members live (mortality)</w:t>
      </w:r>
    </w:p>
    <w:p w14:paraId="09CC9851" w14:textId="430CB172" w:rsidR="00E72FC2" w:rsidRPr="007F54C0" w:rsidRDefault="00000000">
      <w:pPr>
        <w:spacing w:after="120"/>
        <w:rPr>
          <w:color w:val="000000" w:themeColor="text1"/>
        </w:rPr>
      </w:pPr>
      <w:r w:rsidRPr="007F54C0">
        <w:rPr>
          <w:color w:val="000000" w:themeColor="text1"/>
        </w:rPr>
        <w:t xml:space="preserve">For each member </w:t>
      </w:r>
      <w:r w:rsidR="00503FFE" w:rsidRPr="007F54C0">
        <w:rPr>
          <w:color w:val="000000" w:themeColor="text1"/>
        </w:rPr>
        <w:t>we</w:t>
      </w:r>
      <w:r w:rsidRPr="007F54C0">
        <w:rPr>
          <w:color w:val="000000" w:themeColor="text1"/>
        </w:rPr>
        <w:t xml:space="preserve"> need the probability they are still alive in each future year. I use a standard mortality formula</w:t>
      </w:r>
      <w:r w:rsidR="00503FFE" w:rsidRPr="007F54C0">
        <w:rPr>
          <w:color w:val="000000" w:themeColor="text1"/>
        </w:rPr>
        <w:t xml:space="preserve"> (Makeham’s Law)</w:t>
      </w:r>
      <w:r w:rsidRPr="007F54C0">
        <w:rPr>
          <w:color w:val="000000" w:themeColor="text1"/>
        </w:rPr>
        <w:t xml:space="preserve"> fitted to the ONS tables</w:t>
      </w:r>
      <w:r w:rsidR="00503FFE" w:rsidRPr="007F54C0">
        <w:rPr>
          <w:color w:val="000000" w:themeColor="text1"/>
        </w:rPr>
        <w:t>.</w:t>
      </w:r>
      <w:r w:rsidRPr="007F54C0">
        <w:rPr>
          <w:color w:val="000000" w:themeColor="text1"/>
        </w:rPr>
        <w:t xml:space="preserve"> </w:t>
      </w:r>
      <w:r w:rsidR="00503FFE" w:rsidRPr="007F54C0">
        <w:rPr>
          <w:color w:val="000000" w:themeColor="text1"/>
        </w:rPr>
        <w:t>T</w:t>
      </w:r>
      <w:r w:rsidRPr="007F54C0">
        <w:rPr>
          <w:color w:val="000000" w:themeColor="text1"/>
        </w:rPr>
        <w:t>hen apply yearly improvements on a cohort basis – meaning I follow each person as both their age and the calendar year advance together. (Getting this right, rather than reading across a single row of a table, is a classic exam trap.) The yearly death probability and survival probability are:</w:t>
      </w:r>
    </w:p>
    <w:p w14:paraId="08FC05FD" w14:textId="77777777" w:rsidR="00E72FC2" w:rsidRPr="007F54C0" w:rsidRDefault="00000000">
      <w:pPr>
        <w:shd w:val="clear" w:color="auto" w:fill="F2F5F8"/>
        <w:spacing w:before="40" w:after="120"/>
        <w:ind w:left="454"/>
        <w:rPr>
          <w:color w:val="000000" w:themeColor="text1"/>
        </w:rPr>
      </w:pPr>
      <w:r w:rsidRPr="007F54C0">
        <w:rPr>
          <w:rFonts w:ascii="Consolas" w:hAnsi="Consolas"/>
          <w:color w:val="000000" w:themeColor="text1"/>
          <w:sz w:val="20"/>
        </w:rPr>
        <w:t>q(age, k) = q_ONS(age+k) x 0.92 x (1 - improvement)^k</w:t>
      </w:r>
    </w:p>
    <w:p w14:paraId="477E74FB" w14:textId="77777777" w:rsidR="00E72FC2" w:rsidRPr="007F54C0" w:rsidRDefault="00000000">
      <w:pPr>
        <w:shd w:val="clear" w:color="auto" w:fill="F2F5F8"/>
        <w:spacing w:before="40" w:after="120"/>
        <w:ind w:left="454"/>
        <w:rPr>
          <w:color w:val="000000" w:themeColor="text1"/>
        </w:rPr>
      </w:pPr>
      <w:r w:rsidRPr="007F54C0">
        <w:rPr>
          <w:rFonts w:ascii="Consolas" w:hAnsi="Consolas"/>
          <w:color w:val="000000" w:themeColor="text1"/>
          <w:sz w:val="20"/>
        </w:rPr>
        <w:t>tPx = product over k = 0..t-1 of ( 1 - q(age, k) )</w:t>
      </w:r>
    </w:p>
    <w:p w14:paraId="595A9241" w14:textId="77777777" w:rsidR="00E72FC2" w:rsidRPr="007F54C0" w:rsidRDefault="00000000">
      <w:pPr>
        <w:spacing w:after="120"/>
        <w:rPr>
          <w:color w:val="000000" w:themeColor="text1"/>
        </w:rPr>
      </w:pPr>
      <w:r w:rsidRPr="007F54C0">
        <w:rPr>
          <w:color w:val="000000" w:themeColor="text1"/>
        </w:rPr>
        <w:t xml:space="preserve">The effect of improvements is easy to see: a 45-year-old today is expected to live longer once they reach 65 than someone who is 65 today, because they get 20 more years of medical progress. My model gives cohort life expectancy at 65 of </w:t>
      </w:r>
      <w:r w:rsidRPr="007F54C0">
        <w:rPr>
          <w:b/>
          <w:color w:val="000000" w:themeColor="text1"/>
        </w:rPr>
        <w:t>20.5 years (male) and 23.5 (female) for someone 65 now, rising to 22.7 and 25.6 for someone 45 now.</w:t>
      </w:r>
    </w:p>
    <w:p w14:paraId="02A9B5FD" w14:textId="77777777" w:rsidR="00E72FC2" w:rsidRDefault="00000000">
      <w:pPr>
        <w:jc w:val="center"/>
      </w:pPr>
      <w:r>
        <w:rPr>
          <w:noProof/>
        </w:rPr>
        <w:drawing>
          <wp:inline distT="0" distB="0" distL="0" distR="0" wp14:anchorId="44F519AE" wp14:editId="09E6F16B">
            <wp:extent cx="3780000" cy="2348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fe_expectancy_at_65.png"/>
                    <pic:cNvPicPr/>
                  </pic:nvPicPr>
                  <pic:blipFill>
                    <a:blip r:embed="rId8"/>
                    <a:stretch>
                      <a:fillRect/>
                    </a:stretch>
                  </pic:blipFill>
                  <pic:spPr>
                    <a:xfrm>
                      <a:off x="0" y="0"/>
                      <a:ext cx="3780000" cy="2348738"/>
                    </a:xfrm>
                    <a:prstGeom prst="rect">
                      <a:avLst/>
                    </a:prstGeom>
                  </pic:spPr>
                </pic:pic>
              </a:graphicData>
            </a:graphic>
          </wp:inline>
        </w:drawing>
      </w:r>
    </w:p>
    <w:p w14:paraId="6A204AFE" w14:textId="77777777" w:rsidR="00E72FC2" w:rsidRPr="007F54C0" w:rsidRDefault="00000000">
      <w:pPr>
        <w:pStyle w:val="Heading2"/>
        <w:spacing w:before="160" w:after="40"/>
        <w:rPr>
          <w:color w:val="000000" w:themeColor="text1"/>
        </w:rPr>
      </w:pPr>
      <w:r w:rsidRPr="007F54C0">
        <w:rPr>
          <w:color w:val="000000" w:themeColor="text1"/>
          <w:sz w:val="23"/>
        </w:rPr>
        <w:lastRenderedPageBreak/>
        <w:t>4.3  Projecting the pensions paid each year</w:t>
      </w:r>
    </w:p>
    <w:p w14:paraId="73E9F16D" w14:textId="77777777" w:rsidR="00E72FC2" w:rsidRPr="007F54C0" w:rsidRDefault="00000000">
      <w:pPr>
        <w:spacing w:after="120"/>
        <w:rPr>
          <w:color w:val="000000" w:themeColor="text1"/>
        </w:rPr>
      </w:pPr>
      <w:r w:rsidRPr="007F54C0">
        <w:rPr>
          <w:color w:val="000000" w:themeColor="text1"/>
        </w:rPr>
        <w:t>For every member and every future year I work out the expected pension payment. A member's own pension is their starting pension, grown by the increases granted so far, multiplied by the chance they are still alive:</w:t>
      </w:r>
    </w:p>
    <w:p w14:paraId="70DFC5CD" w14:textId="77777777" w:rsidR="00E72FC2" w:rsidRPr="007F54C0" w:rsidRDefault="00000000">
      <w:pPr>
        <w:shd w:val="clear" w:color="auto" w:fill="F2F5F8"/>
        <w:spacing w:before="40" w:after="120"/>
        <w:ind w:left="454"/>
        <w:rPr>
          <w:color w:val="000000" w:themeColor="text1"/>
        </w:rPr>
      </w:pPr>
      <w:r w:rsidRPr="007F54C0">
        <w:rPr>
          <w:rFonts w:ascii="Consolas" w:hAnsi="Consolas"/>
          <w:color w:val="000000" w:themeColor="text1"/>
          <w:sz w:val="20"/>
        </w:rPr>
        <w:t>own_t = pension_0 x increase_factor(t) x tPx</w:t>
      </w:r>
    </w:p>
    <w:p w14:paraId="53B43631" w14:textId="77777777" w:rsidR="00E72FC2" w:rsidRPr="007F54C0" w:rsidRDefault="00000000">
      <w:pPr>
        <w:spacing w:after="120"/>
        <w:rPr>
          <w:color w:val="000000" w:themeColor="text1"/>
        </w:rPr>
      </w:pPr>
      <w:r w:rsidRPr="007F54C0">
        <w:rPr>
          <w:color w:val="000000" w:themeColor="text1"/>
        </w:rPr>
        <w:t xml:space="preserve">The spouse's pension is trickier. It is only paid if the member has </w:t>
      </w:r>
      <w:r w:rsidRPr="007F54C0">
        <w:rPr>
          <w:i/>
          <w:color w:val="000000" w:themeColor="text1"/>
        </w:rPr>
        <w:t>died</w:t>
      </w:r>
      <w:r w:rsidRPr="007F54C0">
        <w:rPr>
          <w:color w:val="000000" w:themeColor="text1"/>
        </w:rPr>
        <w:t>, so it is conditional on death – it is not added on top of the member's own pension in the same year (that would double-count). I model it as an expected value:</w:t>
      </w:r>
    </w:p>
    <w:p w14:paraId="438FE538" w14:textId="77777777" w:rsidR="00E72FC2" w:rsidRPr="007F54C0" w:rsidRDefault="00000000">
      <w:pPr>
        <w:shd w:val="clear" w:color="auto" w:fill="F2F5F8"/>
        <w:spacing w:before="40" w:after="120"/>
        <w:ind w:left="454"/>
        <w:rPr>
          <w:color w:val="000000" w:themeColor="text1"/>
        </w:rPr>
      </w:pPr>
      <w:r w:rsidRPr="007F54C0">
        <w:rPr>
          <w:rFonts w:ascii="Consolas" w:hAnsi="Consolas"/>
          <w:color w:val="000000" w:themeColor="text1"/>
          <w:sz w:val="20"/>
        </w:rPr>
        <w:t>spouse_t = pension_0 x 0.5 x prop_married x increase_factor(t) x (1 - tPx) x tP_spouse</w:t>
      </w:r>
    </w:p>
    <w:p w14:paraId="02597302" w14:textId="77777777" w:rsidR="00E72FC2" w:rsidRPr="007F54C0" w:rsidRDefault="00000000">
      <w:pPr>
        <w:spacing w:after="120"/>
        <w:rPr>
          <w:color w:val="000000" w:themeColor="text1"/>
        </w:rPr>
      </w:pPr>
      <w:r w:rsidRPr="007F54C0">
        <w:rPr>
          <w:color w:val="000000" w:themeColor="text1"/>
        </w:rPr>
        <w:t>A few details I was careful about: increases compound (they multiply, not add); caps apply each year separately (a 5% cap limits each year's increase, not the total); and deferred members are revalued up to age 65 once, then given increases in payment after that – not both. Adding everyone up gives the total expected outgo each year.</w:t>
      </w:r>
    </w:p>
    <w:p w14:paraId="3C9DC927" w14:textId="77777777" w:rsidR="00E72FC2" w:rsidRPr="007F54C0" w:rsidRDefault="00000000">
      <w:pPr>
        <w:spacing w:after="120"/>
        <w:rPr>
          <w:color w:val="000000" w:themeColor="text1"/>
        </w:rPr>
      </w:pPr>
      <w:r w:rsidRPr="007F54C0">
        <w:rPr>
          <w:color w:val="000000" w:themeColor="text1"/>
        </w:rPr>
        <w:t xml:space="preserve">The shape of this is the key check. For a closed mature scheme, outgo should rise for a while as deferreds retire, peak, then run off. Mine rises to a peak of about </w:t>
      </w:r>
      <w:r w:rsidRPr="007F54C0">
        <w:rPr>
          <w:b/>
          <w:color w:val="000000" w:themeColor="text1"/>
        </w:rPr>
        <w:t>£23m at year 19</w:t>
      </w:r>
      <w:r w:rsidRPr="007F54C0">
        <w:rPr>
          <w:color w:val="000000" w:themeColor="text1"/>
        </w:rPr>
        <w:t xml:space="preserve"> (starting near £16m) and decays to almost nothing by the 2080s – exactly the expected hump.</w:t>
      </w:r>
    </w:p>
    <w:p w14:paraId="0C3AA435" w14:textId="77777777" w:rsidR="00E72FC2" w:rsidRPr="007F54C0" w:rsidRDefault="00000000">
      <w:pPr>
        <w:jc w:val="center"/>
        <w:rPr>
          <w:color w:val="000000" w:themeColor="text1"/>
        </w:rPr>
      </w:pPr>
      <w:r w:rsidRPr="007F54C0">
        <w:rPr>
          <w:noProof/>
          <w:color w:val="000000" w:themeColor="text1"/>
        </w:rPr>
        <w:drawing>
          <wp:inline distT="0" distB="0" distL="0" distR="0" wp14:anchorId="7BC85B1A" wp14:editId="505BEE5A">
            <wp:extent cx="4500000" cy="24406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shflow_projection.png"/>
                    <pic:cNvPicPr/>
                  </pic:nvPicPr>
                  <pic:blipFill>
                    <a:blip r:embed="rId9"/>
                    <a:stretch>
                      <a:fillRect/>
                    </a:stretch>
                  </pic:blipFill>
                  <pic:spPr>
                    <a:xfrm>
                      <a:off x="0" y="0"/>
                      <a:ext cx="4500000" cy="2440678"/>
                    </a:xfrm>
                    <a:prstGeom prst="rect">
                      <a:avLst/>
                    </a:prstGeom>
                  </pic:spPr>
                </pic:pic>
              </a:graphicData>
            </a:graphic>
          </wp:inline>
        </w:drawing>
      </w:r>
    </w:p>
    <w:p w14:paraId="41F15D2F" w14:textId="77777777" w:rsidR="00E72FC2" w:rsidRPr="007F54C0" w:rsidRDefault="00000000">
      <w:pPr>
        <w:pStyle w:val="Heading2"/>
        <w:spacing w:before="160" w:after="40"/>
        <w:rPr>
          <w:color w:val="000000" w:themeColor="text1"/>
        </w:rPr>
      </w:pPr>
      <w:r w:rsidRPr="007F54C0">
        <w:rPr>
          <w:color w:val="000000" w:themeColor="text1"/>
          <w:sz w:val="23"/>
        </w:rPr>
        <w:t>4.4  Valuing the pensions on three bases</w:t>
      </w:r>
    </w:p>
    <w:p w14:paraId="6390B82D" w14:textId="77777777" w:rsidR="00E72FC2" w:rsidRPr="007F54C0" w:rsidRDefault="00000000">
      <w:pPr>
        <w:spacing w:after="120"/>
        <w:rPr>
          <w:color w:val="000000" w:themeColor="text1"/>
        </w:rPr>
      </w:pPr>
      <w:r w:rsidRPr="007F54C0">
        <w:rPr>
          <w:color w:val="000000" w:themeColor="text1"/>
        </w:rPr>
        <w:t>“Valuing” the pensions means discounting all those future payments back to today. The three bases differ only in the discount rate (and, for buy-out, slightly stronger mortality). I discount each year's cashflow at t − 0.5 to approximate that pensions are actually paid monthly, not once a year:</w:t>
      </w:r>
    </w:p>
    <w:p w14:paraId="41F689F6" w14:textId="77777777" w:rsidR="00E72FC2" w:rsidRPr="007F54C0" w:rsidRDefault="00000000">
      <w:pPr>
        <w:shd w:val="clear" w:color="auto" w:fill="F2F5F8"/>
        <w:spacing w:before="40" w:after="120"/>
        <w:ind w:left="454"/>
        <w:rPr>
          <w:color w:val="000000" w:themeColor="text1"/>
        </w:rPr>
      </w:pPr>
      <w:r w:rsidRPr="007F54C0">
        <w:rPr>
          <w:rFonts w:ascii="Consolas" w:hAnsi="Consolas"/>
          <w:color w:val="000000" w:themeColor="text1"/>
          <w:sz w:val="20"/>
        </w:rPr>
        <w:t>PV = sum over t of  CF_t x (1 + rate(t-0.5))^(-(t-0.5))</w:t>
      </w:r>
    </w:p>
    <w:p w14:paraId="2A17869F" w14:textId="77777777" w:rsidR="00E72FC2" w:rsidRPr="007F54C0" w:rsidRDefault="00000000">
      <w:pPr>
        <w:pStyle w:val="ListBullet"/>
        <w:spacing w:after="40"/>
        <w:rPr>
          <w:color w:val="000000" w:themeColor="text1"/>
        </w:rPr>
      </w:pPr>
      <w:r w:rsidRPr="007F54C0">
        <w:rPr>
          <w:b/>
          <w:color w:val="000000" w:themeColor="text1"/>
        </w:rPr>
        <w:t xml:space="preserve">Technical provisions (TP): </w:t>
      </w:r>
      <w:r w:rsidRPr="007F54C0">
        <w:rPr>
          <w:color w:val="000000" w:themeColor="text1"/>
        </w:rPr>
        <w:t>gilts + 1.0%, falling to + 0.5% over 15 years – the statutory funding target, reflecting a scheme gradually de-risking.</w:t>
      </w:r>
    </w:p>
    <w:p w14:paraId="63945CF3" w14:textId="77777777" w:rsidR="00E72FC2" w:rsidRPr="007F54C0" w:rsidRDefault="00000000">
      <w:pPr>
        <w:pStyle w:val="ListBullet"/>
        <w:spacing w:after="40"/>
        <w:rPr>
          <w:color w:val="000000" w:themeColor="text1"/>
        </w:rPr>
      </w:pPr>
      <w:r w:rsidRPr="007F54C0">
        <w:rPr>
          <w:b/>
          <w:color w:val="000000" w:themeColor="text1"/>
        </w:rPr>
        <w:t xml:space="preserve">Low dependency: </w:t>
      </w:r>
      <w:r w:rsidRPr="007F54C0">
        <w:rPr>
          <w:color w:val="000000" w:themeColor="text1"/>
        </w:rPr>
        <w:t>gilts + 0.5% flat – the 2024 Funding Code target for a mature scheme.</w:t>
      </w:r>
    </w:p>
    <w:p w14:paraId="4DBEB24A" w14:textId="77777777" w:rsidR="00E72FC2" w:rsidRPr="007F54C0" w:rsidRDefault="00000000">
      <w:pPr>
        <w:pStyle w:val="ListBullet"/>
        <w:spacing w:after="40"/>
        <w:rPr>
          <w:color w:val="000000" w:themeColor="text1"/>
        </w:rPr>
      </w:pPr>
      <w:r w:rsidRPr="007F54C0">
        <w:rPr>
          <w:b/>
          <w:color w:val="000000" w:themeColor="text1"/>
        </w:rPr>
        <w:t xml:space="preserve">Buy-out: </w:t>
      </w:r>
      <w:r w:rsidRPr="007F54C0">
        <w:rPr>
          <w:color w:val="000000" w:themeColor="text1"/>
        </w:rPr>
        <w:t>gilts flat, stronger mortality, plus an expense loading – what an insurer would charge. This one is a proxy because insurer pricing is not public.</w:t>
      </w:r>
    </w:p>
    <w:p w14:paraId="27CA9CD2" w14:textId="77777777" w:rsidR="00E72FC2" w:rsidRPr="007F54C0" w:rsidRDefault="00000000">
      <w:pPr>
        <w:spacing w:after="120"/>
        <w:rPr>
          <w:color w:val="000000" w:themeColor="text1"/>
        </w:rPr>
      </w:pPr>
      <w:r w:rsidRPr="007F54C0">
        <w:rPr>
          <w:color w:val="000000" w:themeColor="text1"/>
        </w:rPr>
        <w:t>The results, with the modified duration (how sensitive each is to interest rates):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721"/>
        <w:gridCol w:w="1928"/>
        <w:gridCol w:w="2041"/>
        <w:gridCol w:w="2041"/>
      </w:tblGrid>
      <w:tr w:rsidR="00E72FC2" w14:paraId="0B7A5FBC" w14:textId="77777777">
        <w:trPr>
          <w:jc w:val="center"/>
        </w:trPr>
        <w:tc>
          <w:tcPr>
            <w:tcW w:w="2721" w:type="dxa"/>
            <w:shd w:val="clear" w:color="auto" w:fill="1F3A5F"/>
          </w:tcPr>
          <w:p w14:paraId="22EEF943" w14:textId="77777777" w:rsidR="00E72FC2" w:rsidRDefault="00000000">
            <w:pPr>
              <w:spacing w:before="20" w:after="20"/>
            </w:pPr>
            <w:r>
              <w:rPr>
                <w:b/>
                <w:color w:val="FFFFFF"/>
                <w:sz w:val="17"/>
              </w:rPr>
              <w:t>Basis</w:t>
            </w:r>
          </w:p>
        </w:tc>
        <w:tc>
          <w:tcPr>
            <w:tcW w:w="1928" w:type="dxa"/>
            <w:shd w:val="clear" w:color="auto" w:fill="1F3A5F"/>
          </w:tcPr>
          <w:p w14:paraId="44DD3211" w14:textId="77777777" w:rsidR="00E72FC2" w:rsidRDefault="00000000">
            <w:pPr>
              <w:spacing w:before="20" w:after="20"/>
            </w:pPr>
            <w:r>
              <w:rPr>
                <w:b/>
                <w:color w:val="FFFFFF"/>
                <w:sz w:val="17"/>
              </w:rPr>
              <w:t>Value (£m)</w:t>
            </w:r>
          </w:p>
        </w:tc>
        <w:tc>
          <w:tcPr>
            <w:tcW w:w="2041" w:type="dxa"/>
            <w:shd w:val="clear" w:color="auto" w:fill="1F3A5F"/>
          </w:tcPr>
          <w:p w14:paraId="74D68EE3" w14:textId="77777777" w:rsidR="00E72FC2" w:rsidRDefault="00000000">
            <w:pPr>
              <w:spacing w:before="20" w:after="20"/>
            </w:pPr>
            <w:r>
              <w:rPr>
                <w:b/>
                <w:color w:val="FFFFFF"/>
                <w:sz w:val="17"/>
              </w:rPr>
              <w:t>Duration (yrs)</w:t>
            </w:r>
          </w:p>
        </w:tc>
        <w:tc>
          <w:tcPr>
            <w:tcW w:w="2041" w:type="dxa"/>
            <w:shd w:val="clear" w:color="auto" w:fill="1F3A5F"/>
          </w:tcPr>
          <w:p w14:paraId="66349D10" w14:textId="77777777" w:rsidR="00E72FC2" w:rsidRDefault="00000000">
            <w:pPr>
              <w:spacing w:before="20" w:after="20"/>
            </w:pPr>
            <w:r>
              <w:rPr>
                <w:b/>
                <w:color w:val="FFFFFF"/>
                <w:sz w:val="17"/>
              </w:rPr>
              <w:t>vs low dependency</w:t>
            </w:r>
          </w:p>
        </w:tc>
      </w:tr>
      <w:tr w:rsidR="00E72FC2" w14:paraId="1CBCC4B0" w14:textId="77777777">
        <w:trPr>
          <w:jc w:val="center"/>
        </w:trPr>
        <w:tc>
          <w:tcPr>
            <w:tcW w:w="2721" w:type="dxa"/>
            <w:shd w:val="clear" w:color="auto" w:fill="FFFFFF"/>
          </w:tcPr>
          <w:p w14:paraId="70B75881" w14:textId="77777777" w:rsidR="00E72FC2" w:rsidRDefault="00000000">
            <w:pPr>
              <w:spacing w:before="20" w:after="20"/>
            </w:pPr>
            <w:r>
              <w:rPr>
                <w:b/>
                <w:sz w:val="17"/>
              </w:rPr>
              <w:t>Technical provisions</w:t>
            </w:r>
          </w:p>
        </w:tc>
        <w:tc>
          <w:tcPr>
            <w:tcW w:w="1928" w:type="dxa"/>
            <w:shd w:val="clear" w:color="auto" w:fill="FFFFFF"/>
          </w:tcPr>
          <w:p w14:paraId="44CB4952" w14:textId="77777777" w:rsidR="00E72FC2" w:rsidRDefault="00000000">
            <w:pPr>
              <w:spacing w:before="20" w:after="20"/>
            </w:pPr>
            <w:r>
              <w:rPr>
                <w:sz w:val="17"/>
              </w:rPr>
              <w:t>316.5</w:t>
            </w:r>
          </w:p>
        </w:tc>
        <w:tc>
          <w:tcPr>
            <w:tcW w:w="2041" w:type="dxa"/>
            <w:shd w:val="clear" w:color="auto" w:fill="FFFFFF"/>
          </w:tcPr>
          <w:p w14:paraId="45C89D64" w14:textId="77777777" w:rsidR="00E72FC2" w:rsidRDefault="00000000">
            <w:pPr>
              <w:spacing w:before="20" w:after="20"/>
            </w:pPr>
            <w:r>
              <w:rPr>
                <w:sz w:val="17"/>
              </w:rPr>
              <w:t>14.0</w:t>
            </w:r>
          </w:p>
        </w:tc>
        <w:tc>
          <w:tcPr>
            <w:tcW w:w="2041" w:type="dxa"/>
            <w:shd w:val="clear" w:color="auto" w:fill="FFFFFF"/>
          </w:tcPr>
          <w:p w14:paraId="3C4ACD8F" w14:textId="77777777" w:rsidR="00E72FC2" w:rsidRDefault="00000000">
            <w:pPr>
              <w:spacing w:before="20" w:after="20"/>
            </w:pPr>
            <w:r>
              <w:rPr>
                <w:sz w:val="17"/>
              </w:rPr>
              <w:t>-0.7%</w:t>
            </w:r>
          </w:p>
        </w:tc>
      </w:tr>
      <w:tr w:rsidR="00E72FC2" w14:paraId="1DC05F26" w14:textId="77777777">
        <w:trPr>
          <w:jc w:val="center"/>
        </w:trPr>
        <w:tc>
          <w:tcPr>
            <w:tcW w:w="2721" w:type="dxa"/>
            <w:shd w:val="clear" w:color="auto" w:fill="FFFFFF"/>
          </w:tcPr>
          <w:p w14:paraId="10D25055" w14:textId="77777777" w:rsidR="00E72FC2" w:rsidRDefault="00000000">
            <w:pPr>
              <w:spacing w:before="20" w:after="20"/>
            </w:pPr>
            <w:r>
              <w:rPr>
                <w:b/>
                <w:sz w:val="17"/>
              </w:rPr>
              <w:t>Low dependency</w:t>
            </w:r>
          </w:p>
        </w:tc>
        <w:tc>
          <w:tcPr>
            <w:tcW w:w="1928" w:type="dxa"/>
            <w:shd w:val="clear" w:color="auto" w:fill="FFFFFF"/>
          </w:tcPr>
          <w:p w14:paraId="6F608FCA" w14:textId="77777777" w:rsidR="00E72FC2" w:rsidRDefault="00000000">
            <w:pPr>
              <w:spacing w:before="20" w:after="20"/>
            </w:pPr>
            <w:r>
              <w:rPr>
                <w:sz w:val="17"/>
              </w:rPr>
              <w:t>318.7</w:t>
            </w:r>
          </w:p>
        </w:tc>
        <w:tc>
          <w:tcPr>
            <w:tcW w:w="2041" w:type="dxa"/>
            <w:shd w:val="clear" w:color="auto" w:fill="FFFFFF"/>
          </w:tcPr>
          <w:p w14:paraId="66791A16" w14:textId="77777777" w:rsidR="00E72FC2" w:rsidRDefault="00000000">
            <w:pPr>
              <w:spacing w:before="20" w:after="20"/>
            </w:pPr>
            <w:r>
              <w:rPr>
                <w:sz w:val="17"/>
              </w:rPr>
              <w:t>13.9</w:t>
            </w:r>
          </w:p>
        </w:tc>
        <w:tc>
          <w:tcPr>
            <w:tcW w:w="2041" w:type="dxa"/>
            <w:shd w:val="clear" w:color="auto" w:fill="FFFFFF"/>
          </w:tcPr>
          <w:p w14:paraId="4EEAB8CD" w14:textId="77777777" w:rsidR="00E72FC2" w:rsidRDefault="00000000">
            <w:pPr>
              <w:spacing w:before="20" w:after="20"/>
            </w:pPr>
            <w:r>
              <w:rPr>
                <w:sz w:val="17"/>
              </w:rPr>
              <w:t>0.0%</w:t>
            </w:r>
          </w:p>
        </w:tc>
      </w:tr>
      <w:tr w:rsidR="00E72FC2" w14:paraId="256F0FE1" w14:textId="77777777">
        <w:trPr>
          <w:jc w:val="center"/>
        </w:trPr>
        <w:tc>
          <w:tcPr>
            <w:tcW w:w="2721" w:type="dxa"/>
            <w:shd w:val="clear" w:color="auto" w:fill="FFFFFF"/>
          </w:tcPr>
          <w:p w14:paraId="780F0400" w14:textId="77777777" w:rsidR="00E72FC2" w:rsidRDefault="00000000">
            <w:pPr>
              <w:spacing w:before="20" w:after="20"/>
            </w:pPr>
            <w:r>
              <w:rPr>
                <w:b/>
                <w:sz w:val="17"/>
              </w:rPr>
              <w:t>Buy-out (proxy)</w:t>
            </w:r>
          </w:p>
        </w:tc>
        <w:tc>
          <w:tcPr>
            <w:tcW w:w="1928" w:type="dxa"/>
            <w:shd w:val="clear" w:color="auto" w:fill="FFFFFF"/>
          </w:tcPr>
          <w:p w14:paraId="731973FA" w14:textId="77777777" w:rsidR="00E72FC2" w:rsidRDefault="00000000">
            <w:pPr>
              <w:spacing w:before="20" w:after="20"/>
            </w:pPr>
            <w:r>
              <w:rPr>
                <w:sz w:val="17"/>
              </w:rPr>
              <w:t>356.2</w:t>
            </w:r>
          </w:p>
        </w:tc>
        <w:tc>
          <w:tcPr>
            <w:tcW w:w="2041" w:type="dxa"/>
            <w:shd w:val="clear" w:color="auto" w:fill="FFFFFF"/>
          </w:tcPr>
          <w:p w14:paraId="328320F4" w14:textId="77777777" w:rsidR="00E72FC2" w:rsidRDefault="00000000">
            <w:pPr>
              <w:spacing w:before="20" w:after="20"/>
            </w:pPr>
            <w:r>
              <w:rPr>
                <w:sz w:val="17"/>
              </w:rPr>
              <w:t>14.6</w:t>
            </w:r>
          </w:p>
        </w:tc>
        <w:tc>
          <w:tcPr>
            <w:tcW w:w="2041" w:type="dxa"/>
            <w:shd w:val="clear" w:color="auto" w:fill="FFFFFF"/>
          </w:tcPr>
          <w:p w14:paraId="6B93F01A" w14:textId="77777777" w:rsidR="00E72FC2" w:rsidRDefault="00000000">
            <w:pPr>
              <w:spacing w:before="20" w:after="20"/>
            </w:pPr>
            <w:r>
              <w:rPr>
                <w:sz w:val="17"/>
              </w:rPr>
              <w:t>+11.8%</w:t>
            </w:r>
          </w:p>
        </w:tc>
      </w:tr>
    </w:tbl>
    <w:p w14:paraId="30C0FD16" w14:textId="77777777" w:rsidR="00E72FC2" w:rsidRPr="007F54C0" w:rsidRDefault="00000000">
      <w:pPr>
        <w:spacing w:after="120"/>
        <w:rPr>
          <w:color w:val="000000" w:themeColor="text1"/>
        </w:rPr>
      </w:pPr>
      <w:r w:rsidRPr="007F54C0">
        <w:rPr>
          <w:color w:val="000000" w:themeColor="text1"/>
        </w:rPr>
        <w:lastRenderedPageBreak/>
        <w:t>With assets of £332m, the scheme is 105% funded on TP and 104% on low dependency, but only 93% on buy-out. So it is comfortably funded for running on, but not yet able to afford buy-out – which is what makes the endgame question interesting.</w:t>
      </w:r>
    </w:p>
    <w:p w14:paraId="76BA005E" w14:textId="77777777" w:rsidR="00E72FC2" w:rsidRPr="007F54C0" w:rsidRDefault="00000000">
      <w:pPr>
        <w:pStyle w:val="Heading2"/>
        <w:spacing w:before="160" w:after="40"/>
        <w:rPr>
          <w:color w:val="000000" w:themeColor="text1"/>
        </w:rPr>
      </w:pPr>
      <w:r w:rsidRPr="007F54C0">
        <w:rPr>
          <w:color w:val="000000" w:themeColor="text1"/>
          <w:sz w:val="23"/>
        </w:rPr>
        <w:t>4.5  Simulating assets and liabilities forward</w:t>
      </w:r>
    </w:p>
    <w:p w14:paraId="58AD0C02" w14:textId="77777777" w:rsidR="00E72FC2" w:rsidRPr="007F54C0" w:rsidRDefault="00000000">
      <w:pPr>
        <w:spacing w:after="120"/>
        <w:rPr>
          <w:color w:val="000000" w:themeColor="text1"/>
        </w:rPr>
      </w:pPr>
      <w:r w:rsidRPr="007F54C0">
        <w:rPr>
          <w:color w:val="000000" w:themeColor="text1"/>
        </w:rPr>
        <w:t>To see how the funding position might change, I simulate the future 5,000 times. Each year in each simulation I randomly move interest rates, inflation and growth-asset returns (with sensible sizes and correlations), then revalue the liabilities and update the assets. The scheme holds 25% growth assets and 75% matching assets, and hedges 80% of its interest-rate risk. Growth returns are modelled so that the median allows for the drag from volatility:</w:t>
      </w:r>
    </w:p>
    <w:p w14:paraId="01B29E4B" w14:textId="77777777" w:rsidR="00E72FC2" w:rsidRPr="007F54C0" w:rsidRDefault="00000000">
      <w:pPr>
        <w:shd w:val="clear" w:color="auto" w:fill="F2F5F8"/>
        <w:spacing w:before="40" w:after="120"/>
        <w:ind w:left="454"/>
        <w:rPr>
          <w:color w:val="000000" w:themeColor="text1"/>
        </w:rPr>
      </w:pPr>
      <w:r w:rsidRPr="007F54C0">
        <w:rPr>
          <w:rFonts w:ascii="Consolas" w:hAnsi="Consolas"/>
          <w:color w:val="000000" w:themeColor="text1"/>
          <w:sz w:val="20"/>
        </w:rPr>
        <w:t>growth_return = (1 + mean) x exp( vol x Z - 0.5 x vol^2 ) - 1</w:t>
      </w:r>
    </w:p>
    <w:p w14:paraId="3C6F567F" w14:textId="77777777" w:rsidR="00E72FC2" w:rsidRPr="007F54C0" w:rsidRDefault="00000000">
      <w:pPr>
        <w:spacing w:after="120"/>
        <w:rPr>
          <w:color w:val="000000" w:themeColor="text1"/>
        </w:rPr>
      </w:pPr>
      <w:r w:rsidRPr="007F54C0">
        <w:rPr>
          <w:color w:val="000000" w:themeColor="text1"/>
        </w:rPr>
        <w:t xml:space="preserve">One subtle but important point: the 80% hedge is set against the </w:t>
      </w:r>
      <w:r w:rsidRPr="007F54C0">
        <w:rPr>
          <w:b/>
          <w:color w:val="000000" w:themeColor="text1"/>
        </w:rPr>
        <w:t>TP</w:t>
      </w:r>
      <w:r w:rsidRPr="007F54C0">
        <w:rPr>
          <w:color w:val="000000" w:themeColor="text1"/>
        </w:rPr>
        <w:t xml:space="preserve"> liabilities. The buy-out liabilities are longer and on a different basis, so the same hedge protects less of the buy-out position. A scheme aiming for buy-out is therefore more exposed to interest rates than the “80% hedged” label suggests – you can see this as the wider spread in the buy-out funding cone below.</w:t>
      </w:r>
    </w:p>
    <w:p w14:paraId="16562946" w14:textId="77777777" w:rsidR="00E72FC2" w:rsidRPr="007F54C0" w:rsidRDefault="00000000">
      <w:pPr>
        <w:jc w:val="center"/>
        <w:rPr>
          <w:color w:val="000000" w:themeColor="text1"/>
        </w:rPr>
      </w:pPr>
      <w:r w:rsidRPr="007F54C0">
        <w:rPr>
          <w:noProof/>
          <w:color w:val="000000" w:themeColor="text1"/>
        </w:rPr>
        <w:drawing>
          <wp:inline distT="0" distB="0" distL="0" distR="0" wp14:anchorId="71D3E0EA" wp14:editId="68685243">
            <wp:extent cx="4500000" cy="2555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unding_fan_chart.png"/>
                    <pic:cNvPicPr/>
                  </pic:nvPicPr>
                  <pic:blipFill>
                    <a:blip r:embed="rId10"/>
                    <a:stretch>
                      <a:fillRect/>
                    </a:stretch>
                  </pic:blipFill>
                  <pic:spPr>
                    <a:xfrm>
                      <a:off x="0" y="0"/>
                      <a:ext cx="4500000" cy="2555085"/>
                    </a:xfrm>
                    <a:prstGeom prst="rect">
                      <a:avLst/>
                    </a:prstGeom>
                  </pic:spPr>
                </pic:pic>
              </a:graphicData>
            </a:graphic>
          </wp:inline>
        </w:drawing>
      </w:r>
    </w:p>
    <w:p w14:paraId="027A1276" w14:textId="77777777" w:rsidR="00E72FC2" w:rsidRPr="007F54C0" w:rsidRDefault="00000000">
      <w:pPr>
        <w:spacing w:after="160"/>
        <w:jc w:val="center"/>
        <w:rPr>
          <w:color w:val="000000" w:themeColor="text1"/>
        </w:rPr>
      </w:pPr>
      <w:r w:rsidRPr="007F54C0">
        <w:rPr>
          <w:i/>
          <w:color w:val="000000" w:themeColor="text1"/>
          <w:sz w:val="17"/>
        </w:rPr>
        <w:t>Figure 3. Buy-out funding level across 5,000 simulations. The band widens because risk compounds.</w:t>
      </w:r>
    </w:p>
    <w:p w14:paraId="2022FCE8" w14:textId="77777777" w:rsidR="00E72FC2" w:rsidRPr="007F54C0" w:rsidRDefault="00000000">
      <w:pPr>
        <w:pStyle w:val="Heading2"/>
        <w:spacing w:before="160" w:after="40"/>
        <w:rPr>
          <w:color w:val="000000" w:themeColor="text1"/>
        </w:rPr>
      </w:pPr>
      <w:r w:rsidRPr="007F54C0">
        <w:rPr>
          <w:color w:val="000000" w:themeColor="text1"/>
          <w:sz w:val="23"/>
        </w:rPr>
        <w:t>4.6  Comparing the two endgames</w:t>
      </w:r>
    </w:p>
    <w:p w14:paraId="794D010F" w14:textId="77777777" w:rsidR="00E72FC2" w:rsidRPr="007F54C0" w:rsidRDefault="00000000">
      <w:pPr>
        <w:spacing w:after="120"/>
        <w:rPr>
          <w:color w:val="000000" w:themeColor="text1"/>
        </w:rPr>
      </w:pPr>
      <w:r w:rsidRPr="007F54C0">
        <w:rPr>
          <w:b/>
          <w:color w:val="000000" w:themeColor="text1"/>
        </w:rPr>
        <w:t xml:space="preserve">Route A (buy-out): </w:t>
      </w:r>
      <w:r w:rsidRPr="007F54C0">
        <w:rPr>
          <w:color w:val="000000" w:themeColor="text1"/>
        </w:rPr>
        <w:t>for each simulation I record the first year the buy-out funding level hits 100%. Across all simulations this gives a distribution of “time to buy-out”.</w:t>
      </w:r>
    </w:p>
    <w:p w14:paraId="1A2E96CF" w14:textId="77777777" w:rsidR="00E72FC2" w:rsidRPr="007F54C0" w:rsidRDefault="00000000">
      <w:pPr>
        <w:spacing w:after="120"/>
        <w:rPr>
          <w:color w:val="000000" w:themeColor="text1"/>
        </w:rPr>
      </w:pPr>
      <w:r w:rsidRPr="007F54C0">
        <w:rPr>
          <w:b/>
          <w:color w:val="000000" w:themeColor="text1"/>
        </w:rPr>
        <w:t xml:space="preserve">Route B (run-on): </w:t>
      </w:r>
      <w:r w:rsidRPr="007F54C0">
        <w:rPr>
          <w:color w:val="000000" w:themeColor="text1"/>
        </w:rPr>
        <w:t>the scheme releases any funding above low dependency + 5% as surplus each year, and I track how much surplus is released and how often funding falls back below the low-dependency floor.</w:t>
      </w:r>
    </w:p>
    <w:p w14:paraId="085C4E82" w14:textId="77777777" w:rsidR="00E72FC2" w:rsidRPr="007F54C0" w:rsidRDefault="00000000">
      <w:pPr>
        <w:pStyle w:val="Heading1"/>
        <w:spacing w:before="240" w:after="80"/>
        <w:rPr>
          <w:color w:val="000000" w:themeColor="text1"/>
        </w:rPr>
      </w:pPr>
      <w:r w:rsidRPr="007F54C0">
        <w:rPr>
          <w:color w:val="000000" w:themeColor="text1"/>
        </w:rPr>
        <w:t>5.  Results</w:t>
      </w:r>
    </w:p>
    <w:p w14:paraId="583C7365" w14:textId="77777777" w:rsidR="00E72FC2" w:rsidRPr="007F54C0" w:rsidRDefault="00000000">
      <w:pPr>
        <w:spacing w:after="120"/>
        <w:rPr>
          <w:color w:val="000000" w:themeColor="text1"/>
        </w:rPr>
      </w:pPr>
      <w:r w:rsidRPr="007F54C0">
        <w:rPr>
          <w:b/>
          <w:color w:val="000000" w:themeColor="text1"/>
        </w:rPr>
        <w:t xml:space="preserve">Route A. </w:t>
      </w:r>
      <w:r w:rsidRPr="007F54C0">
        <w:rPr>
          <w:color w:val="000000" w:themeColor="text1"/>
        </w:rPr>
        <w:t>The median time to buy-out is 4 years, but the 25th–75th percentile range is 2–8 years. 71% of simulations can afford buy-out within 10 years, but 14% never manage it within 20. This spread is the main message: the answer is a range, not a date.</w:t>
      </w:r>
    </w:p>
    <w:p w14:paraId="2223BCF0" w14:textId="77777777" w:rsidR="00E72FC2" w:rsidRDefault="00000000">
      <w:pPr>
        <w:jc w:val="center"/>
      </w:pPr>
      <w:r>
        <w:rPr>
          <w:noProof/>
        </w:rPr>
        <w:lastRenderedPageBreak/>
        <w:drawing>
          <wp:inline distT="0" distB="0" distL="0" distR="0" wp14:anchorId="0528CBDB" wp14:editId="0921392C">
            <wp:extent cx="4500000" cy="24468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ime_to_buyout_hist.png"/>
                    <pic:cNvPicPr/>
                  </pic:nvPicPr>
                  <pic:blipFill>
                    <a:blip r:embed="rId11"/>
                    <a:stretch>
                      <a:fillRect/>
                    </a:stretch>
                  </pic:blipFill>
                  <pic:spPr>
                    <a:xfrm>
                      <a:off x="0" y="0"/>
                      <a:ext cx="4500000" cy="2446899"/>
                    </a:xfrm>
                    <a:prstGeom prst="rect">
                      <a:avLst/>
                    </a:prstGeom>
                  </pic:spPr>
                </pic:pic>
              </a:graphicData>
            </a:graphic>
          </wp:inline>
        </w:drawing>
      </w:r>
    </w:p>
    <w:p w14:paraId="50141575" w14:textId="77777777" w:rsidR="00E72FC2" w:rsidRDefault="00000000">
      <w:pPr>
        <w:spacing w:after="160"/>
        <w:jc w:val="center"/>
      </w:pPr>
      <w:r>
        <w:rPr>
          <w:i/>
          <w:color w:val="666666"/>
          <w:sz w:val="17"/>
        </w:rPr>
        <w:t>Figure 4. Distribution of the first year buy-out becomes affordable.</w:t>
      </w:r>
    </w:p>
    <w:p w14:paraId="2D881447" w14:textId="77777777" w:rsidR="00E72FC2" w:rsidRPr="007F54C0" w:rsidRDefault="00000000">
      <w:pPr>
        <w:spacing w:after="120"/>
        <w:rPr>
          <w:color w:val="000000" w:themeColor="text1"/>
        </w:rPr>
      </w:pPr>
      <w:r w:rsidRPr="007F54C0">
        <w:rPr>
          <w:b/>
          <w:color w:val="000000" w:themeColor="text1"/>
        </w:rPr>
        <w:t xml:space="preserve">Route B. </w:t>
      </w:r>
      <w:r w:rsidRPr="007F54C0">
        <w:rPr>
          <w:color w:val="000000" w:themeColor="text1"/>
        </w:rPr>
        <w:t>Running on releases about £70m of surplus on average over 20 years. But because the release rule only keeps a 5% buffer, funding dips below the low-dependency floor at some point in most simulations, and the 1-in-20 worst case leaves funding around 84%. More growth assets increase the surplus but worsen this downside – the trade-off is shown in the frontier below.</w:t>
      </w:r>
    </w:p>
    <w:p w14:paraId="587EBB69" w14:textId="77777777" w:rsidR="00E72FC2" w:rsidRDefault="00000000">
      <w:pPr>
        <w:jc w:val="center"/>
      </w:pPr>
      <w:r>
        <w:rPr>
          <w:noProof/>
        </w:rPr>
        <w:drawing>
          <wp:inline distT="0" distB="0" distL="0" distR="0" wp14:anchorId="5A9B11B1" wp14:editId="0A02A2CC">
            <wp:extent cx="4680000" cy="2922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ndgame_frontier.png"/>
                    <pic:cNvPicPr/>
                  </pic:nvPicPr>
                  <pic:blipFill>
                    <a:blip r:embed="rId12"/>
                    <a:stretch>
                      <a:fillRect/>
                    </a:stretch>
                  </pic:blipFill>
                  <pic:spPr>
                    <a:xfrm>
                      <a:off x="0" y="0"/>
                      <a:ext cx="4680000" cy="2922498"/>
                    </a:xfrm>
                    <a:prstGeom prst="rect">
                      <a:avLst/>
                    </a:prstGeom>
                  </pic:spPr>
                </pic:pic>
              </a:graphicData>
            </a:graphic>
          </wp:inline>
        </w:drawing>
      </w:r>
    </w:p>
    <w:p w14:paraId="10E8A043" w14:textId="77777777" w:rsidR="00E72FC2" w:rsidRDefault="00000000">
      <w:pPr>
        <w:spacing w:after="160"/>
        <w:jc w:val="center"/>
      </w:pPr>
      <w:r>
        <w:rPr>
          <w:i/>
          <w:color w:val="666666"/>
          <w:sz w:val="17"/>
        </w:rPr>
        <w:t>Figure 5. Risk/return frontier: expected surplus vs the chance of a material funding fall, by growth allocation.</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268"/>
        <w:gridCol w:w="2494"/>
        <w:gridCol w:w="2494"/>
        <w:gridCol w:w="1928"/>
      </w:tblGrid>
      <w:tr w:rsidR="00E72FC2" w14:paraId="16F74453" w14:textId="77777777">
        <w:trPr>
          <w:jc w:val="center"/>
        </w:trPr>
        <w:tc>
          <w:tcPr>
            <w:tcW w:w="2268" w:type="dxa"/>
            <w:shd w:val="clear" w:color="auto" w:fill="1F3A5F"/>
          </w:tcPr>
          <w:p w14:paraId="4758DA25" w14:textId="77777777" w:rsidR="00E72FC2" w:rsidRDefault="00000000">
            <w:pPr>
              <w:spacing w:before="20" w:after="20"/>
            </w:pPr>
            <w:r>
              <w:rPr>
                <w:b/>
                <w:color w:val="FFFFFF"/>
                <w:sz w:val="17"/>
              </w:rPr>
              <w:t>Growth assets</w:t>
            </w:r>
          </w:p>
        </w:tc>
        <w:tc>
          <w:tcPr>
            <w:tcW w:w="2494" w:type="dxa"/>
            <w:shd w:val="clear" w:color="auto" w:fill="1F3A5F"/>
          </w:tcPr>
          <w:p w14:paraId="36B592EF" w14:textId="77777777" w:rsidR="00E72FC2" w:rsidRDefault="00000000">
            <w:pPr>
              <w:spacing w:before="20" w:after="20"/>
            </w:pPr>
            <w:r>
              <w:rPr>
                <w:b/>
                <w:color w:val="FFFFFF"/>
                <w:sz w:val="17"/>
              </w:rPr>
              <w:t>Expected surplus (£m)</w:t>
            </w:r>
          </w:p>
        </w:tc>
        <w:tc>
          <w:tcPr>
            <w:tcW w:w="2494" w:type="dxa"/>
            <w:shd w:val="clear" w:color="auto" w:fill="1F3A5F"/>
          </w:tcPr>
          <w:p w14:paraId="6ED2BE54" w14:textId="77777777" w:rsidR="00E72FC2" w:rsidRDefault="00000000">
            <w:pPr>
              <w:spacing w:before="20" w:after="20"/>
            </w:pPr>
            <w:r>
              <w:rPr>
                <w:b/>
                <w:color w:val="FFFFFF"/>
                <w:sz w:val="17"/>
              </w:rPr>
              <w:t>Chance funding &lt; 95% LD</w:t>
            </w:r>
          </w:p>
        </w:tc>
        <w:tc>
          <w:tcPr>
            <w:tcW w:w="1928" w:type="dxa"/>
            <w:shd w:val="clear" w:color="auto" w:fill="1F3A5F"/>
          </w:tcPr>
          <w:p w14:paraId="25DC7EC0" w14:textId="77777777" w:rsidR="00E72FC2" w:rsidRDefault="00000000">
            <w:pPr>
              <w:spacing w:before="20" w:after="20"/>
            </w:pPr>
            <w:r>
              <w:rPr>
                <w:b/>
                <w:color w:val="FFFFFF"/>
                <w:sz w:val="17"/>
              </w:rPr>
              <w:t>1-in-20 funding</w:t>
            </w:r>
          </w:p>
        </w:tc>
      </w:tr>
      <w:tr w:rsidR="00E72FC2" w14:paraId="2145E6D7" w14:textId="77777777">
        <w:trPr>
          <w:jc w:val="center"/>
        </w:trPr>
        <w:tc>
          <w:tcPr>
            <w:tcW w:w="2268" w:type="dxa"/>
            <w:shd w:val="clear" w:color="auto" w:fill="FFFFFF"/>
          </w:tcPr>
          <w:p w14:paraId="2704DCF3" w14:textId="77777777" w:rsidR="00E72FC2" w:rsidRDefault="00000000">
            <w:pPr>
              <w:spacing w:before="20" w:after="20"/>
            </w:pPr>
            <w:r>
              <w:rPr>
                <w:b/>
                <w:sz w:val="17"/>
              </w:rPr>
              <w:t>5%</w:t>
            </w:r>
          </w:p>
        </w:tc>
        <w:tc>
          <w:tcPr>
            <w:tcW w:w="2494" w:type="dxa"/>
            <w:shd w:val="clear" w:color="auto" w:fill="FFFFFF"/>
          </w:tcPr>
          <w:p w14:paraId="009D23FB" w14:textId="77777777" w:rsidR="00E72FC2" w:rsidRDefault="00000000">
            <w:pPr>
              <w:spacing w:before="20" w:after="20"/>
            </w:pPr>
            <w:r>
              <w:rPr>
                <w:sz w:val="17"/>
              </w:rPr>
              <w:t>25</w:t>
            </w:r>
          </w:p>
        </w:tc>
        <w:tc>
          <w:tcPr>
            <w:tcW w:w="2494" w:type="dxa"/>
            <w:shd w:val="clear" w:color="auto" w:fill="FFFFFF"/>
          </w:tcPr>
          <w:p w14:paraId="277A1586" w14:textId="77777777" w:rsidR="00E72FC2" w:rsidRDefault="00000000">
            <w:pPr>
              <w:spacing w:before="20" w:after="20"/>
            </w:pPr>
            <w:r>
              <w:rPr>
                <w:sz w:val="17"/>
              </w:rPr>
              <w:t>40%</w:t>
            </w:r>
          </w:p>
        </w:tc>
        <w:tc>
          <w:tcPr>
            <w:tcW w:w="1928" w:type="dxa"/>
            <w:shd w:val="clear" w:color="auto" w:fill="FFFFFF"/>
          </w:tcPr>
          <w:p w14:paraId="11987825" w14:textId="77777777" w:rsidR="00E72FC2" w:rsidRDefault="00000000">
            <w:pPr>
              <w:spacing w:before="20" w:after="20"/>
            </w:pPr>
            <w:r>
              <w:rPr>
                <w:sz w:val="17"/>
              </w:rPr>
              <w:t>91%</w:t>
            </w:r>
          </w:p>
        </w:tc>
      </w:tr>
      <w:tr w:rsidR="00E72FC2" w14:paraId="4C7959FD" w14:textId="77777777">
        <w:trPr>
          <w:jc w:val="center"/>
        </w:trPr>
        <w:tc>
          <w:tcPr>
            <w:tcW w:w="2268" w:type="dxa"/>
            <w:shd w:val="clear" w:color="auto" w:fill="FFFFFF"/>
          </w:tcPr>
          <w:p w14:paraId="11B59B90" w14:textId="77777777" w:rsidR="00E72FC2" w:rsidRDefault="00000000">
            <w:pPr>
              <w:spacing w:before="20" w:after="20"/>
            </w:pPr>
            <w:r>
              <w:rPr>
                <w:b/>
                <w:sz w:val="17"/>
              </w:rPr>
              <w:t>15%</w:t>
            </w:r>
          </w:p>
        </w:tc>
        <w:tc>
          <w:tcPr>
            <w:tcW w:w="2494" w:type="dxa"/>
            <w:shd w:val="clear" w:color="auto" w:fill="FFFFFF"/>
          </w:tcPr>
          <w:p w14:paraId="7F1DB026" w14:textId="77777777" w:rsidR="00E72FC2" w:rsidRDefault="00000000">
            <w:pPr>
              <w:spacing w:before="20" w:after="20"/>
            </w:pPr>
            <w:r>
              <w:rPr>
                <w:sz w:val="17"/>
              </w:rPr>
              <w:t>44</w:t>
            </w:r>
          </w:p>
        </w:tc>
        <w:tc>
          <w:tcPr>
            <w:tcW w:w="2494" w:type="dxa"/>
            <w:shd w:val="clear" w:color="auto" w:fill="FFFFFF"/>
          </w:tcPr>
          <w:p w14:paraId="30FB9947" w14:textId="77777777" w:rsidR="00E72FC2" w:rsidRDefault="00000000">
            <w:pPr>
              <w:spacing w:before="20" w:after="20"/>
            </w:pPr>
            <w:r>
              <w:rPr>
                <w:sz w:val="17"/>
              </w:rPr>
              <w:t>48%</w:t>
            </w:r>
          </w:p>
        </w:tc>
        <w:tc>
          <w:tcPr>
            <w:tcW w:w="1928" w:type="dxa"/>
            <w:shd w:val="clear" w:color="auto" w:fill="FFFFFF"/>
          </w:tcPr>
          <w:p w14:paraId="3F341794" w14:textId="77777777" w:rsidR="00E72FC2" w:rsidRDefault="00000000">
            <w:pPr>
              <w:spacing w:before="20" w:after="20"/>
            </w:pPr>
            <w:r>
              <w:rPr>
                <w:sz w:val="17"/>
              </w:rPr>
              <w:t>88%</w:t>
            </w:r>
          </w:p>
        </w:tc>
      </w:tr>
      <w:tr w:rsidR="00E72FC2" w14:paraId="28900443" w14:textId="77777777">
        <w:trPr>
          <w:jc w:val="center"/>
        </w:trPr>
        <w:tc>
          <w:tcPr>
            <w:tcW w:w="2268" w:type="dxa"/>
            <w:shd w:val="clear" w:color="auto" w:fill="FFFFFF"/>
          </w:tcPr>
          <w:p w14:paraId="667E14DA" w14:textId="77777777" w:rsidR="00E72FC2" w:rsidRDefault="00000000">
            <w:pPr>
              <w:spacing w:before="20" w:after="20"/>
            </w:pPr>
            <w:r>
              <w:rPr>
                <w:b/>
                <w:sz w:val="17"/>
              </w:rPr>
              <w:t>25%</w:t>
            </w:r>
          </w:p>
        </w:tc>
        <w:tc>
          <w:tcPr>
            <w:tcW w:w="2494" w:type="dxa"/>
            <w:shd w:val="clear" w:color="auto" w:fill="FFFFFF"/>
          </w:tcPr>
          <w:p w14:paraId="0DF2D626" w14:textId="77777777" w:rsidR="00E72FC2" w:rsidRDefault="00000000">
            <w:pPr>
              <w:spacing w:before="20" w:after="20"/>
            </w:pPr>
            <w:r>
              <w:rPr>
                <w:sz w:val="17"/>
              </w:rPr>
              <w:t>70</w:t>
            </w:r>
          </w:p>
        </w:tc>
        <w:tc>
          <w:tcPr>
            <w:tcW w:w="2494" w:type="dxa"/>
            <w:shd w:val="clear" w:color="auto" w:fill="FFFFFF"/>
          </w:tcPr>
          <w:p w14:paraId="380E394F" w14:textId="77777777" w:rsidR="00E72FC2" w:rsidRDefault="00000000">
            <w:pPr>
              <w:spacing w:before="20" w:after="20"/>
            </w:pPr>
            <w:r>
              <w:rPr>
                <w:sz w:val="17"/>
              </w:rPr>
              <w:t>67%</w:t>
            </w:r>
          </w:p>
        </w:tc>
        <w:tc>
          <w:tcPr>
            <w:tcW w:w="1928" w:type="dxa"/>
            <w:shd w:val="clear" w:color="auto" w:fill="FFFFFF"/>
          </w:tcPr>
          <w:p w14:paraId="14B96CCF" w14:textId="77777777" w:rsidR="00E72FC2" w:rsidRDefault="00000000">
            <w:pPr>
              <w:spacing w:before="20" w:after="20"/>
            </w:pPr>
            <w:r>
              <w:rPr>
                <w:sz w:val="17"/>
              </w:rPr>
              <w:t>84%</w:t>
            </w:r>
          </w:p>
        </w:tc>
      </w:tr>
      <w:tr w:rsidR="00E72FC2" w14:paraId="2FFCE1B5" w14:textId="77777777">
        <w:trPr>
          <w:jc w:val="center"/>
        </w:trPr>
        <w:tc>
          <w:tcPr>
            <w:tcW w:w="2268" w:type="dxa"/>
            <w:shd w:val="clear" w:color="auto" w:fill="FFFFFF"/>
          </w:tcPr>
          <w:p w14:paraId="3800479F" w14:textId="77777777" w:rsidR="00E72FC2" w:rsidRDefault="00000000">
            <w:pPr>
              <w:spacing w:before="20" w:after="20"/>
            </w:pPr>
            <w:r>
              <w:rPr>
                <w:b/>
                <w:sz w:val="17"/>
              </w:rPr>
              <w:t>40%</w:t>
            </w:r>
          </w:p>
        </w:tc>
        <w:tc>
          <w:tcPr>
            <w:tcW w:w="2494" w:type="dxa"/>
            <w:shd w:val="clear" w:color="auto" w:fill="FFFFFF"/>
          </w:tcPr>
          <w:p w14:paraId="7DC86AF6" w14:textId="77777777" w:rsidR="00E72FC2" w:rsidRDefault="00000000">
            <w:pPr>
              <w:spacing w:before="20" w:after="20"/>
            </w:pPr>
            <w:r>
              <w:rPr>
                <w:sz w:val="17"/>
              </w:rPr>
              <w:t>113</w:t>
            </w:r>
          </w:p>
        </w:tc>
        <w:tc>
          <w:tcPr>
            <w:tcW w:w="2494" w:type="dxa"/>
            <w:shd w:val="clear" w:color="auto" w:fill="FFFFFF"/>
          </w:tcPr>
          <w:p w14:paraId="0CBC5528" w14:textId="77777777" w:rsidR="00E72FC2" w:rsidRDefault="00000000">
            <w:pPr>
              <w:spacing w:before="20" w:after="20"/>
            </w:pPr>
            <w:r>
              <w:rPr>
                <w:sz w:val="17"/>
              </w:rPr>
              <w:t>88%</w:t>
            </w:r>
          </w:p>
        </w:tc>
        <w:tc>
          <w:tcPr>
            <w:tcW w:w="1928" w:type="dxa"/>
            <w:shd w:val="clear" w:color="auto" w:fill="FFFFFF"/>
          </w:tcPr>
          <w:p w14:paraId="301BA7B0" w14:textId="77777777" w:rsidR="00E72FC2" w:rsidRDefault="00000000">
            <w:pPr>
              <w:spacing w:before="20" w:after="20"/>
            </w:pPr>
            <w:r>
              <w:rPr>
                <w:sz w:val="17"/>
              </w:rPr>
              <w:t>77%</w:t>
            </w:r>
          </w:p>
        </w:tc>
      </w:tr>
    </w:tbl>
    <w:p w14:paraId="136B9D45" w14:textId="77777777" w:rsidR="00E72FC2" w:rsidRDefault="00000000">
      <w:pPr>
        <w:spacing w:after="120"/>
      </w:pPr>
      <w:r>
        <w:t>Going from 25% to 40% growth adds surplus but pushes the 1-in-20 funding down and makes a material breach much more likely. For a scheme this near its endgame, that is not a good trade.</w:t>
      </w:r>
    </w:p>
    <w:p w14:paraId="227D229B" w14:textId="77777777" w:rsidR="00E72FC2" w:rsidRPr="007F54C0" w:rsidRDefault="00000000">
      <w:pPr>
        <w:pStyle w:val="Heading1"/>
        <w:spacing w:before="240" w:after="80"/>
        <w:rPr>
          <w:color w:val="000000" w:themeColor="text1"/>
        </w:rPr>
      </w:pPr>
      <w:r w:rsidRPr="007F54C0">
        <w:rPr>
          <w:color w:val="000000" w:themeColor="text1"/>
        </w:rPr>
        <w:t>6.  Sensitivity analysis</w:t>
      </w:r>
    </w:p>
    <w:p w14:paraId="35A5532D" w14:textId="77777777" w:rsidR="00E72FC2" w:rsidRPr="007F54C0" w:rsidRDefault="00000000">
      <w:pPr>
        <w:spacing w:after="120"/>
        <w:rPr>
          <w:color w:val="000000" w:themeColor="text1"/>
        </w:rPr>
      </w:pPr>
      <w:r w:rsidRPr="007F54C0">
        <w:rPr>
          <w:color w:val="000000" w:themeColor="text1"/>
        </w:rPr>
        <w:t>I tested the two assumptions I was least sure about.</w:t>
      </w:r>
    </w:p>
    <w:p w14:paraId="2274A809" w14:textId="77777777" w:rsidR="00E72FC2" w:rsidRPr="007F54C0" w:rsidRDefault="00000000">
      <w:pPr>
        <w:spacing w:after="120"/>
        <w:rPr>
          <w:color w:val="000000" w:themeColor="text1"/>
        </w:rPr>
      </w:pPr>
      <w:r w:rsidRPr="007F54C0">
        <w:rPr>
          <w:b/>
          <w:color w:val="000000" w:themeColor="text1"/>
        </w:rPr>
        <w:lastRenderedPageBreak/>
        <w:t xml:space="preserve">Mortality improvements. </w:t>
      </w:r>
      <w:r w:rsidRPr="007F54C0">
        <w:rPr>
          <w:color w:val="000000" w:themeColor="text1"/>
        </w:rPr>
        <w:t>Changing the long-term improvement rate from 1.0% to 1.5% per year moves the TP liability from -1.2% to +1.2% around the central figure – about a 2.4% swing. Longevity is a real lever.</w:t>
      </w:r>
    </w:p>
    <w:p w14:paraId="705F2E12" w14:textId="77777777" w:rsidR="00E72FC2" w:rsidRPr="007F54C0" w:rsidRDefault="00000000">
      <w:pPr>
        <w:spacing w:after="120"/>
        <w:rPr>
          <w:color w:val="000000" w:themeColor="text1"/>
        </w:rPr>
      </w:pPr>
      <w:r w:rsidRPr="007F54C0">
        <w:rPr>
          <w:b/>
          <w:color w:val="000000" w:themeColor="text1"/>
        </w:rPr>
        <w:t xml:space="preserve">Buy-out loading. </w:t>
      </w:r>
      <w:r w:rsidRPr="007F54C0">
        <w:rPr>
          <w:color w:val="000000" w:themeColor="text1"/>
        </w:rPr>
        <w:t>Sweeping the insurer loading from 0% to 6% moves the buy-out cost between 9% and 15% above low dependency. Even at 0% loading buy-out is about 8.5% dearer, which shows most of the gap comes from the gilts-flat basis and stronger mortality, not the loading itself.</w:t>
      </w:r>
    </w:p>
    <w:p w14:paraId="0E77495A" w14:textId="77777777" w:rsidR="00E72FC2" w:rsidRPr="007F54C0" w:rsidRDefault="00000000">
      <w:pPr>
        <w:pStyle w:val="Heading1"/>
        <w:spacing w:before="240" w:after="80"/>
        <w:rPr>
          <w:color w:val="000000" w:themeColor="text1"/>
        </w:rPr>
      </w:pPr>
      <w:r w:rsidRPr="007F54C0">
        <w:rPr>
          <w:color w:val="000000" w:themeColor="text1"/>
        </w:rPr>
        <w:t>7.  Checking the model</w:t>
      </w:r>
    </w:p>
    <w:p w14:paraId="1145A8E3" w14:textId="77777777" w:rsidR="00E72FC2" w:rsidRPr="007F54C0" w:rsidRDefault="00000000">
      <w:pPr>
        <w:spacing w:after="120"/>
        <w:rPr>
          <w:color w:val="000000" w:themeColor="text1"/>
        </w:rPr>
      </w:pPr>
      <w:r w:rsidRPr="007F54C0">
        <w:rPr>
          <w:color w:val="000000" w:themeColor="text1"/>
        </w:rPr>
        <w:t>Before trusting any numbers I ran five checks. An unchecked model is worse than none, because an interviewer will find the error. All five pass:</w:t>
      </w:r>
    </w:p>
    <w:p w14:paraId="386CBFDE" w14:textId="77777777" w:rsidR="00E72FC2" w:rsidRPr="007F54C0" w:rsidRDefault="00000000">
      <w:pPr>
        <w:pStyle w:val="ListBullet"/>
        <w:spacing w:after="40"/>
        <w:rPr>
          <w:color w:val="000000" w:themeColor="text1"/>
        </w:rPr>
      </w:pPr>
      <w:r w:rsidRPr="007F54C0">
        <w:rPr>
          <w:b/>
          <w:color w:val="000000" w:themeColor="text1"/>
        </w:rPr>
        <w:t xml:space="preserve">Duration check: </w:t>
      </w:r>
      <w:r w:rsidRPr="007F54C0">
        <w:rPr>
          <w:color w:val="000000" w:themeColor="text1"/>
        </w:rPr>
        <w:t>a small rise in the discount rate cuts the liability by (duration x rise), as it should; a full 1% move shows the expected second-order convexity.</w:t>
      </w:r>
    </w:p>
    <w:p w14:paraId="3F09725A" w14:textId="77777777" w:rsidR="00E72FC2" w:rsidRPr="007F54C0" w:rsidRDefault="00000000">
      <w:pPr>
        <w:pStyle w:val="ListBullet"/>
        <w:spacing w:after="40"/>
        <w:rPr>
          <w:color w:val="000000" w:themeColor="text1"/>
        </w:rPr>
      </w:pPr>
      <w:r w:rsidRPr="007F54C0">
        <w:rPr>
          <w:b/>
          <w:color w:val="000000" w:themeColor="text1"/>
        </w:rPr>
        <w:t xml:space="preserve">Improvements check: </w:t>
      </w:r>
      <w:r w:rsidRPr="007F54C0">
        <w:rPr>
          <w:color w:val="000000" w:themeColor="text1"/>
        </w:rPr>
        <w:t>turning off mortality improvements drops the liability by ~6%, a sensible amount.</w:t>
      </w:r>
    </w:p>
    <w:p w14:paraId="6874C434" w14:textId="77777777" w:rsidR="00E72FC2" w:rsidRPr="007F54C0" w:rsidRDefault="00000000">
      <w:pPr>
        <w:pStyle w:val="ListBullet"/>
        <w:spacing w:after="40"/>
        <w:rPr>
          <w:color w:val="000000" w:themeColor="text1"/>
        </w:rPr>
      </w:pPr>
      <w:r w:rsidRPr="007F54C0">
        <w:rPr>
          <w:b/>
          <w:color w:val="000000" w:themeColor="text1"/>
        </w:rPr>
        <w:t xml:space="preserve">Cashflow shape: </w:t>
      </w:r>
      <w:r w:rsidRPr="007F54C0">
        <w:rPr>
          <w:color w:val="000000" w:themeColor="text1"/>
        </w:rPr>
        <w:t>total undiscounted pensions divided by the liability is 2.6x, inside the usual 2.5–3.5x range.</w:t>
      </w:r>
    </w:p>
    <w:p w14:paraId="6297F31A" w14:textId="77777777" w:rsidR="00E72FC2" w:rsidRPr="007F54C0" w:rsidRDefault="00000000">
      <w:pPr>
        <w:pStyle w:val="ListBullet"/>
        <w:spacing w:after="40"/>
        <w:rPr>
          <w:color w:val="000000" w:themeColor="text1"/>
        </w:rPr>
      </w:pPr>
      <w:r w:rsidRPr="007F54C0">
        <w:rPr>
          <w:b/>
          <w:color w:val="000000" w:themeColor="text1"/>
        </w:rPr>
        <w:t xml:space="preserve">External check: </w:t>
      </w:r>
      <w:r w:rsidRPr="007F54C0">
        <w:rPr>
          <w:color w:val="000000" w:themeColor="text1"/>
        </w:rPr>
        <w:t>my starting funding level is in the same region as the PPF 7800 index.</w:t>
      </w:r>
    </w:p>
    <w:p w14:paraId="7A562214" w14:textId="77777777" w:rsidR="00E72FC2" w:rsidRPr="007F54C0" w:rsidRDefault="00000000">
      <w:pPr>
        <w:pStyle w:val="ListBullet"/>
        <w:spacing w:after="40"/>
        <w:rPr>
          <w:color w:val="000000" w:themeColor="text1"/>
        </w:rPr>
      </w:pPr>
      <w:r w:rsidRPr="007F54C0">
        <w:rPr>
          <w:b/>
          <w:color w:val="000000" w:themeColor="text1"/>
        </w:rPr>
        <w:t xml:space="preserve">Convergence: </w:t>
      </w:r>
      <w:r w:rsidRPr="007F54C0">
        <w:rPr>
          <w:color w:val="000000" w:themeColor="text1"/>
        </w:rPr>
        <w:t>the median time-to-buy-out settles down well before 5,000 simulations.</w:t>
      </w:r>
    </w:p>
    <w:p w14:paraId="55666036" w14:textId="77777777" w:rsidR="00E72FC2" w:rsidRDefault="00000000">
      <w:pPr>
        <w:jc w:val="center"/>
      </w:pPr>
      <w:r>
        <w:rPr>
          <w:noProof/>
        </w:rPr>
        <w:drawing>
          <wp:inline distT="0" distB="0" distL="0" distR="0" wp14:anchorId="222C2A60" wp14:editId="13627C8B">
            <wp:extent cx="3780000" cy="226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vergence.png"/>
                    <pic:cNvPicPr/>
                  </pic:nvPicPr>
                  <pic:blipFill>
                    <a:blip r:embed="rId13"/>
                    <a:stretch>
                      <a:fillRect/>
                    </a:stretch>
                  </pic:blipFill>
                  <pic:spPr>
                    <a:xfrm>
                      <a:off x="0" y="0"/>
                      <a:ext cx="3780000" cy="2268000"/>
                    </a:xfrm>
                    <a:prstGeom prst="rect">
                      <a:avLst/>
                    </a:prstGeom>
                  </pic:spPr>
                </pic:pic>
              </a:graphicData>
            </a:graphic>
          </wp:inline>
        </w:drawing>
      </w:r>
    </w:p>
    <w:p w14:paraId="5385D6B3" w14:textId="77777777" w:rsidR="00E72FC2" w:rsidRDefault="00000000">
      <w:pPr>
        <w:spacing w:after="160"/>
        <w:jc w:val="center"/>
      </w:pPr>
      <w:r>
        <w:rPr>
          <w:i/>
          <w:color w:val="666666"/>
          <w:sz w:val="17"/>
        </w:rPr>
        <w:t>Figure 6. The median result stops moving as the number of simulations grows – enough simulations were used.</w:t>
      </w:r>
    </w:p>
    <w:p w14:paraId="508A7E1F" w14:textId="77777777" w:rsidR="00E72FC2" w:rsidRPr="007F54C0" w:rsidRDefault="00000000">
      <w:pPr>
        <w:pStyle w:val="Heading1"/>
        <w:spacing w:before="240" w:after="80"/>
        <w:rPr>
          <w:color w:val="000000" w:themeColor="text1"/>
        </w:rPr>
      </w:pPr>
      <w:r w:rsidRPr="007F54C0">
        <w:rPr>
          <w:color w:val="000000" w:themeColor="text1"/>
        </w:rPr>
        <w:t>8.  Limitations and further work</w:t>
      </w:r>
    </w:p>
    <w:p w14:paraId="6C155715" w14:textId="77777777" w:rsidR="00E72FC2" w:rsidRPr="007F54C0" w:rsidRDefault="00000000">
      <w:pPr>
        <w:spacing w:after="120"/>
        <w:rPr>
          <w:color w:val="000000" w:themeColor="text1"/>
        </w:rPr>
      </w:pPr>
      <w:r w:rsidRPr="007F54C0">
        <w:rPr>
          <w:color w:val="000000" w:themeColor="text1"/>
        </w:rPr>
        <w:t>The model is deliberately simple, and there are things I would improve with more time:</w:t>
      </w:r>
    </w:p>
    <w:p w14:paraId="09BAA915" w14:textId="77777777" w:rsidR="00E72FC2" w:rsidRPr="007F54C0" w:rsidRDefault="00000000">
      <w:pPr>
        <w:pStyle w:val="ListBullet"/>
        <w:spacing w:after="40"/>
        <w:rPr>
          <w:color w:val="000000" w:themeColor="text1"/>
        </w:rPr>
      </w:pPr>
      <w:r w:rsidRPr="007F54C0">
        <w:rPr>
          <w:color w:val="000000" w:themeColor="text1"/>
        </w:rPr>
        <w:t>Buy-out pricing is a proxy – real insurer quotes could differ.</w:t>
      </w:r>
    </w:p>
    <w:p w14:paraId="58F54632" w14:textId="77777777" w:rsidR="00E72FC2" w:rsidRPr="007F54C0" w:rsidRDefault="00000000">
      <w:pPr>
        <w:pStyle w:val="ListBullet"/>
        <w:spacing w:after="40"/>
        <w:rPr>
          <w:color w:val="000000" w:themeColor="text1"/>
        </w:rPr>
      </w:pPr>
      <w:r w:rsidRPr="007F54C0">
        <w:rPr>
          <w:color w:val="000000" w:themeColor="text1"/>
        </w:rPr>
        <w:t>GMP equalisation and member options are excluded; of everything I left out, these would most change the buy-out cost (and would tend to lengthen the time to buy-out).</w:t>
      </w:r>
    </w:p>
    <w:p w14:paraId="5492D583" w14:textId="77777777" w:rsidR="00E72FC2" w:rsidRPr="007F54C0" w:rsidRDefault="00000000">
      <w:pPr>
        <w:pStyle w:val="ListBullet"/>
        <w:spacing w:after="40"/>
        <w:rPr>
          <w:color w:val="000000" w:themeColor="text1"/>
        </w:rPr>
      </w:pPr>
      <w:r w:rsidRPr="007F54C0">
        <w:rPr>
          <w:color w:val="000000" w:themeColor="text1"/>
        </w:rPr>
        <w:t>The economic model is a simple single-factor one – fine for this purpose, but not a full stochastic model.</w:t>
      </w:r>
    </w:p>
    <w:p w14:paraId="2015EB44" w14:textId="77777777" w:rsidR="00E72FC2" w:rsidRPr="007F54C0" w:rsidRDefault="00000000">
      <w:pPr>
        <w:pStyle w:val="ListBullet"/>
        <w:spacing w:after="40"/>
        <w:rPr>
          <w:color w:val="000000" w:themeColor="text1"/>
        </w:rPr>
      </w:pPr>
      <w:r w:rsidRPr="007F54C0">
        <w:rPr>
          <w:color w:val="000000" w:themeColor="text1"/>
        </w:rPr>
        <w:t>Adding a sponsor covenant (the chance the employer can still pay) would complete the funding picture.</w:t>
      </w:r>
    </w:p>
    <w:p w14:paraId="03EF6008" w14:textId="77777777" w:rsidR="00E72FC2" w:rsidRPr="007F54C0" w:rsidRDefault="00000000">
      <w:pPr>
        <w:pStyle w:val="ListBullet"/>
        <w:spacing w:after="40"/>
        <w:rPr>
          <w:color w:val="000000" w:themeColor="text1"/>
        </w:rPr>
      </w:pPr>
      <w:r w:rsidRPr="007F54C0">
        <w:rPr>
          <w:color w:val="000000" w:themeColor="text1"/>
        </w:rPr>
        <w:t>A trigger-based de-risking rule behaves like a feedback controller and can overshoot – an interesting extension linking to control theory.</w:t>
      </w:r>
    </w:p>
    <w:p w14:paraId="1143BB98" w14:textId="77777777" w:rsidR="00E72FC2" w:rsidRPr="007F54C0" w:rsidRDefault="00000000">
      <w:pPr>
        <w:pStyle w:val="Heading1"/>
        <w:spacing w:before="240" w:after="80"/>
        <w:rPr>
          <w:color w:val="000000" w:themeColor="text1"/>
        </w:rPr>
      </w:pPr>
      <w:r w:rsidRPr="007F54C0">
        <w:rPr>
          <w:color w:val="000000" w:themeColor="text1"/>
        </w:rPr>
        <w:t>9.  What I learned</w:t>
      </w:r>
    </w:p>
    <w:p w14:paraId="6E8081E5" w14:textId="77777777" w:rsidR="00E72FC2" w:rsidRPr="007F54C0" w:rsidRDefault="00000000">
      <w:pPr>
        <w:spacing w:after="120"/>
        <w:rPr>
          <w:color w:val="000000" w:themeColor="text1"/>
        </w:rPr>
      </w:pPr>
      <w:r w:rsidRPr="007F54C0">
        <w:rPr>
          <w:color w:val="000000" w:themeColor="text1"/>
        </w:rPr>
        <w:t>The most useful lesson was that the interesting answer is a distribution, not a point estimate. It is easy to compute one funding number; the value is in showing the range of outcomes and explaining what drives it – the growth allocation, the hedge basis, and longevity. I also learned how much the small modelling details (compounding increases, cohort mortality, revaluing deferreds once, not double-counting the spouse's pension) matter to the final answer, and why being explicit about assumptions is what makes a model trustworthy.</w:t>
      </w:r>
    </w:p>
    <w:p w14:paraId="53041990" w14:textId="77777777" w:rsidR="00E72FC2" w:rsidRPr="007F54C0" w:rsidRDefault="00000000">
      <w:pPr>
        <w:pStyle w:val="Heading1"/>
        <w:spacing w:before="240" w:after="80"/>
        <w:rPr>
          <w:color w:val="000000" w:themeColor="text1"/>
        </w:rPr>
      </w:pPr>
      <w:r w:rsidRPr="007F54C0">
        <w:rPr>
          <w:color w:val="000000" w:themeColor="text1"/>
        </w:rPr>
        <w:lastRenderedPageBreak/>
        <w:t>Appendix: assumptions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835"/>
        <w:gridCol w:w="2494"/>
        <w:gridCol w:w="3402"/>
      </w:tblGrid>
      <w:tr w:rsidR="00E72FC2" w14:paraId="5D2B41DA" w14:textId="77777777">
        <w:trPr>
          <w:jc w:val="center"/>
        </w:trPr>
        <w:tc>
          <w:tcPr>
            <w:tcW w:w="2835" w:type="dxa"/>
            <w:shd w:val="clear" w:color="auto" w:fill="1F3A5F"/>
          </w:tcPr>
          <w:p w14:paraId="5F558E64" w14:textId="77777777" w:rsidR="00E72FC2" w:rsidRDefault="00000000">
            <w:pPr>
              <w:spacing w:before="20" w:after="20"/>
            </w:pPr>
            <w:r>
              <w:rPr>
                <w:b/>
                <w:color w:val="FFFFFF"/>
                <w:sz w:val="17"/>
              </w:rPr>
              <w:t>Assumption</w:t>
            </w:r>
          </w:p>
        </w:tc>
        <w:tc>
          <w:tcPr>
            <w:tcW w:w="2494" w:type="dxa"/>
            <w:shd w:val="clear" w:color="auto" w:fill="1F3A5F"/>
          </w:tcPr>
          <w:p w14:paraId="70446D70" w14:textId="77777777" w:rsidR="00E72FC2" w:rsidRDefault="00000000">
            <w:pPr>
              <w:spacing w:before="20" w:after="20"/>
            </w:pPr>
            <w:r>
              <w:rPr>
                <w:b/>
                <w:color w:val="FFFFFF"/>
                <w:sz w:val="17"/>
              </w:rPr>
              <w:t>Value</w:t>
            </w:r>
          </w:p>
        </w:tc>
        <w:tc>
          <w:tcPr>
            <w:tcW w:w="3402" w:type="dxa"/>
            <w:shd w:val="clear" w:color="auto" w:fill="1F3A5F"/>
          </w:tcPr>
          <w:p w14:paraId="0C275D19" w14:textId="77777777" w:rsidR="00E72FC2" w:rsidRDefault="00000000">
            <w:pPr>
              <w:spacing w:before="20" w:after="20"/>
            </w:pPr>
            <w:r>
              <w:rPr>
                <w:b/>
                <w:color w:val="FFFFFF"/>
                <w:sz w:val="17"/>
              </w:rPr>
              <w:t>Reason</w:t>
            </w:r>
          </w:p>
        </w:tc>
      </w:tr>
      <w:tr w:rsidR="00E72FC2" w14:paraId="63BD2270" w14:textId="77777777">
        <w:trPr>
          <w:jc w:val="center"/>
        </w:trPr>
        <w:tc>
          <w:tcPr>
            <w:tcW w:w="2835" w:type="dxa"/>
            <w:shd w:val="clear" w:color="auto" w:fill="FFFFFF"/>
          </w:tcPr>
          <w:p w14:paraId="5F8A23C2" w14:textId="77777777" w:rsidR="00E72FC2" w:rsidRDefault="00000000">
            <w:pPr>
              <w:spacing w:before="20" w:after="20"/>
            </w:pPr>
            <w:r>
              <w:rPr>
                <w:b/>
                <w:sz w:val="17"/>
              </w:rPr>
              <w:t>Valuation date</w:t>
            </w:r>
          </w:p>
        </w:tc>
        <w:tc>
          <w:tcPr>
            <w:tcW w:w="2494" w:type="dxa"/>
            <w:shd w:val="clear" w:color="auto" w:fill="FFFFFF"/>
          </w:tcPr>
          <w:p w14:paraId="518AA1F7" w14:textId="77777777" w:rsidR="00E72FC2" w:rsidRDefault="00000000">
            <w:pPr>
              <w:spacing w:before="20" w:after="20"/>
            </w:pPr>
            <w:r>
              <w:rPr>
                <w:sz w:val="17"/>
              </w:rPr>
              <w:t>31 Mar 2026</w:t>
            </w:r>
          </w:p>
        </w:tc>
        <w:tc>
          <w:tcPr>
            <w:tcW w:w="3402" w:type="dxa"/>
            <w:shd w:val="clear" w:color="auto" w:fill="FFFFFF"/>
          </w:tcPr>
          <w:p w14:paraId="4E746E6D" w14:textId="77777777" w:rsidR="00E72FC2" w:rsidRDefault="00000000">
            <w:pPr>
              <w:spacing w:before="20" w:after="20"/>
            </w:pPr>
            <w:r>
              <w:rPr>
                <w:sz w:val="17"/>
              </w:rPr>
              <w:t>Single base date</w:t>
            </w:r>
          </w:p>
        </w:tc>
      </w:tr>
      <w:tr w:rsidR="00E72FC2" w14:paraId="04AE4861" w14:textId="77777777">
        <w:trPr>
          <w:jc w:val="center"/>
        </w:trPr>
        <w:tc>
          <w:tcPr>
            <w:tcW w:w="2835" w:type="dxa"/>
            <w:shd w:val="clear" w:color="auto" w:fill="FFFFFF"/>
          </w:tcPr>
          <w:p w14:paraId="69DF1088" w14:textId="77777777" w:rsidR="00E72FC2" w:rsidRDefault="00000000">
            <w:pPr>
              <w:spacing w:before="20" w:after="20"/>
            </w:pPr>
            <w:r>
              <w:rPr>
                <w:b/>
                <w:sz w:val="17"/>
              </w:rPr>
              <w:t>Discount rate – TP</w:t>
            </w:r>
          </w:p>
        </w:tc>
        <w:tc>
          <w:tcPr>
            <w:tcW w:w="2494" w:type="dxa"/>
            <w:shd w:val="clear" w:color="auto" w:fill="FFFFFF"/>
          </w:tcPr>
          <w:p w14:paraId="2D8A1630" w14:textId="77777777" w:rsidR="00E72FC2" w:rsidRDefault="00000000">
            <w:pPr>
              <w:spacing w:before="20" w:after="20"/>
            </w:pPr>
            <w:r>
              <w:rPr>
                <w:sz w:val="17"/>
              </w:rPr>
              <w:t>Gilts +1.0% -&gt; +0.5%</w:t>
            </w:r>
          </w:p>
        </w:tc>
        <w:tc>
          <w:tcPr>
            <w:tcW w:w="3402" w:type="dxa"/>
            <w:shd w:val="clear" w:color="auto" w:fill="FFFFFF"/>
          </w:tcPr>
          <w:p w14:paraId="2581EEAE" w14:textId="77777777" w:rsidR="00E72FC2" w:rsidRDefault="00000000">
            <w:pPr>
              <w:spacing w:before="20" w:after="20"/>
            </w:pPr>
            <w:r>
              <w:rPr>
                <w:sz w:val="17"/>
              </w:rPr>
              <w:t>De-risking flightpath (2024 Funding Code)</w:t>
            </w:r>
          </w:p>
        </w:tc>
      </w:tr>
      <w:tr w:rsidR="00E72FC2" w14:paraId="0501E7F4" w14:textId="77777777">
        <w:trPr>
          <w:jc w:val="center"/>
        </w:trPr>
        <w:tc>
          <w:tcPr>
            <w:tcW w:w="2835" w:type="dxa"/>
            <w:shd w:val="clear" w:color="auto" w:fill="FFFFFF"/>
          </w:tcPr>
          <w:p w14:paraId="2D1B6970" w14:textId="77777777" w:rsidR="00E72FC2" w:rsidRDefault="00000000">
            <w:pPr>
              <w:spacing w:before="20" w:after="20"/>
            </w:pPr>
            <w:r>
              <w:rPr>
                <w:b/>
                <w:sz w:val="17"/>
              </w:rPr>
              <w:t>Discount rate – low dependency</w:t>
            </w:r>
          </w:p>
        </w:tc>
        <w:tc>
          <w:tcPr>
            <w:tcW w:w="2494" w:type="dxa"/>
            <w:shd w:val="clear" w:color="auto" w:fill="FFFFFF"/>
          </w:tcPr>
          <w:p w14:paraId="0FA8AA02" w14:textId="77777777" w:rsidR="00E72FC2" w:rsidRDefault="00000000">
            <w:pPr>
              <w:spacing w:before="20" w:after="20"/>
            </w:pPr>
            <w:r>
              <w:rPr>
                <w:sz w:val="17"/>
              </w:rPr>
              <w:t>Gilts +0.5% flat</w:t>
            </w:r>
          </w:p>
        </w:tc>
        <w:tc>
          <w:tcPr>
            <w:tcW w:w="3402" w:type="dxa"/>
            <w:shd w:val="clear" w:color="auto" w:fill="FFFFFF"/>
          </w:tcPr>
          <w:p w14:paraId="548ECAAB" w14:textId="77777777" w:rsidR="00E72FC2" w:rsidRDefault="00000000">
            <w:pPr>
              <w:spacing w:before="20" w:after="20"/>
            </w:pPr>
            <w:r>
              <w:rPr>
                <w:sz w:val="17"/>
              </w:rPr>
              <w:t>Low-dependency target at maturity</w:t>
            </w:r>
          </w:p>
        </w:tc>
      </w:tr>
      <w:tr w:rsidR="00E72FC2" w14:paraId="249F7793" w14:textId="77777777">
        <w:trPr>
          <w:jc w:val="center"/>
        </w:trPr>
        <w:tc>
          <w:tcPr>
            <w:tcW w:w="2835" w:type="dxa"/>
            <w:shd w:val="clear" w:color="auto" w:fill="FFFFFF"/>
          </w:tcPr>
          <w:p w14:paraId="352C2959" w14:textId="77777777" w:rsidR="00E72FC2" w:rsidRDefault="00000000">
            <w:pPr>
              <w:spacing w:before="20" w:after="20"/>
            </w:pPr>
            <w:r>
              <w:rPr>
                <w:b/>
                <w:sz w:val="17"/>
              </w:rPr>
              <w:t>Buy-out loading</w:t>
            </w:r>
          </w:p>
        </w:tc>
        <w:tc>
          <w:tcPr>
            <w:tcW w:w="2494" w:type="dxa"/>
            <w:shd w:val="clear" w:color="auto" w:fill="FFFFFF"/>
          </w:tcPr>
          <w:p w14:paraId="7A3B0D86" w14:textId="77777777" w:rsidR="00E72FC2" w:rsidRDefault="00000000">
            <w:pPr>
              <w:spacing w:before="20" w:after="20"/>
            </w:pPr>
            <w:r>
              <w:rPr>
                <w:sz w:val="17"/>
              </w:rPr>
              <w:t>3% + mortality x0.97</w:t>
            </w:r>
          </w:p>
        </w:tc>
        <w:tc>
          <w:tcPr>
            <w:tcW w:w="3402" w:type="dxa"/>
            <w:shd w:val="clear" w:color="auto" w:fill="FFFFFF"/>
          </w:tcPr>
          <w:p w14:paraId="4682D7D9" w14:textId="77777777" w:rsidR="00E72FC2" w:rsidRDefault="00000000">
            <w:pPr>
              <w:spacing w:before="20" w:after="20"/>
            </w:pPr>
            <w:r>
              <w:rPr>
                <w:sz w:val="17"/>
              </w:rPr>
              <w:t>Proxy; insurer pricing not public</w:t>
            </w:r>
          </w:p>
        </w:tc>
      </w:tr>
      <w:tr w:rsidR="00E72FC2" w14:paraId="226349CA" w14:textId="77777777">
        <w:trPr>
          <w:jc w:val="center"/>
        </w:trPr>
        <w:tc>
          <w:tcPr>
            <w:tcW w:w="2835" w:type="dxa"/>
            <w:shd w:val="clear" w:color="auto" w:fill="FFFFFF"/>
          </w:tcPr>
          <w:p w14:paraId="14BB10C8" w14:textId="77777777" w:rsidR="00E72FC2" w:rsidRDefault="00000000">
            <w:pPr>
              <w:spacing w:before="20" w:after="20"/>
            </w:pPr>
            <w:r>
              <w:rPr>
                <w:b/>
                <w:sz w:val="17"/>
              </w:rPr>
              <w:t>CPI</w:t>
            </w:r>
          </w:p>
        </w:tc>
        <w:tc>
          <w:tcPr>
            <w:tcW w:w="2494" w:type="dxa"/>
            <w:shd w:val="clear" w:color="auto" w:fill="FFFFFF"/>
          </w:tcPr>
          <w:p w14:paraId="677F7BFB" w14:textId="77777777" w:rsidR="00E72FC2" w:rsidRDefault="00000000">
            <w:pPr>
              <w:spacing w:before="20" w:after="20"/>
            </w:pPr>
            <w:r>
              <w:rPr>
                <w:sz w:val="17"/>
              </w:rPr>
              <w:t>Implied RPI less 0.7%</w:t>
            </w:r>
          </w:p>
        </w:tc>
        <w:tc>
          <w:tcPr>
            <w:tcW w:w="3402" w:type="dxa"/>
            <w:shd w:val="clear" w:color="auto" w:fill="FFFFFF"/>
          </w:tcPr>
          <w:p w14:paraId="20C43649" w14:textId="77777777" w:rsidR="00E72FC2" w:rsidRDefault="00000000">
            <w:pPr>
              <w:spacing w:before="20" w:after="20"/>
            </w:pPr>
            <w:r>
              <w:rPr>
                <w:sz w:val="17"/>
              </w:rPr>
              <w:t>Post-2030 RPI reform assumed</w:t>
            </w:r>
          </w:p>
        </w:tc>
      </w:tr>
      <w:tr w:rsidR="00E72FC2" w14:paraId="7BA24741" w14:textId="77777777">
        <w:trPr>
          <w:jc w:val="center"/>
        </w:trPr>
        <w:tc>
          <w:tcPr>
            <w:tcW w:w="2835" w:type="dxa"/>
            <w:shd w:val="clear" w:color="auto" w:fill="FFFFFF"/>
          </w:tcPr>
          <w:p w14:paraId="561297DC" w14:textId="77777777" w:rsidR="00E72FC2" w:rsidRDefault="00000000">
            <w:pPr>
              <w:spacing w:before="20" w:after="20"/>
            </w:pPr>
            <w:r>
              <w:rPr>
                <w:b/>
                <w:sz w:val="17"/>
              </w:rPr>
              <w:t>Base mortality</w:t>
            </w:r>
          </w:p>
        </w:tc>
        <w:tc>
          <w:tcPr>
            <w:tcW w:w="2494" w:type="dxa"/>
            <w:shd w:val="clear" w:color="auto" w:fill="FFFFFF"/>
          </w:tcPr>
          <w:p w14:paraId="2258A5B8" w14:textId="77777777" w:rsidR="00E72FC2" w:rsidRDefault="00000000">
            <w:pPr>
              <w:spacing w:before="20" w:after="20"/>
            </w:pPr>
            <w:r>
              <w:rPr>
                <w:sz w:val="17"/>
              </w:rPr>
              <w:t>ONS ELT x 0.92</w:t>
            </w:r>
          </w:p>
        </w:tc>
        <w:tc>
          <w:tcPr>
            <w:tcW w:w="3402" w:type="dxa"/>
            <w:shd w:val="clear" w:color="auto" w:fill="FFFFFF"/>
          </w:tcPr>
          <w:p w14:paraId="3DDA52AB" w14:textId="77777777" w:rsidR="00E72FC2" w:rsidRDefault="00000000">
            <w:pPr>
              <w:spacing w:before="20" w:after="20"/>
            </w:pPr>
            <w:r>
              <w:rPr>
                <w:sz w:val="17"/>
              </w:rPr>
              <w:t>Proxy for scheme tables; lighter lives</w:t>
            </w:r>
          </w:p>
        </w:tc>
      </w:tr>
      <w:tr w:rsidR="00E72FC2" w14:paraId="63179C8D" w14:textId="77777777">
        <w:trPr>
          <w:jc w:val="center"/>
        </w:trPr>
        <w:tc>
          <w:tcPr>
            <w:tcW w:w="2835" w:type="dxa"/>
            <w:shd w:val="clear" w:color="auto" w:fill="FFFFFF"/>
          </w:tcPr>
          <w:p w14:paraId="1B94805A" w14:textId="77777777" w:rsidR="00E72FC2" w:rsidRDefault="00000000">
            <w:pPr>
              <w:spacing w:before="20" w:after="20"/>
            </w:pPr>
            <w:r>
              <w:rPr>
                <w:b/>
                <w:sz w:val="17"/>
              </w:rPr>
              <w:t>Improvements</w:t>
            </w:r>
          </w:p>
        </w:tc>
        <w:tc>
          <w:tcPr>
            <w:tcW w:w="2494" w:type="dxa"/>
            <w:shd w:val="clear" w:color="auto" w:fill="FFFFFF"/>
          </w:tcPr>
          <w:p w14:paraId="2B0CBA5D" w14:textId="77777777" w:rsidR="00E72FC2" w:rsidRDefault="00000000">
            <w:pPr>
              <w:spacing w:before="20" w:after="20"/>
            </w:pPr>
            <w:r>
              <w:rPr>
                <w:sz w:val="17"/>
              </w:rPr>
              <w:t>CMI-style 1.25% p.a.</w:t>
            </w:r>
          </w:p>
        </w:tc>
        <w:tc>
          <w:tcPr>
            <w:tcW w:w="3402" w:type="dxa"/>
            <w:shd w:val="clear" w:color="auto" w:fill="FFFFFF"/>
          </w:tcPr>
          <w:p w14:paraId="22564812" w14:textId="77777777" w:rsidR="00E72FC2" w:rsidRDefault="00000000">
            <w:pPr>
              <w:spacing w:before="20" w:after="20"/>
            </w:pPr>
            <w:r>
              <w:rPr>
                <w:sz w:val="17"/>
              </w:rPr>
              <w:t>Tested at 1.0% and 1.5%</w:t>
            </w:r>
          </w:p>
        </w:tc>
      </w:tr>
      <w:tr w:rsidR="00E72FC2" w14:paraId="2916118D" w14:textId="77777777">
        <w:trPr>
          <w:jc w:val="center"/>
        </w:trPr>
        <w:tc>
          <w:tcPr>
            <w:tcW w:w="2835" w:type="dxa"/>
            <w:shd w:val="clear" w:color="auto" w:fill="FFFFFF"/>
          </w:tcPr>
          <w:p w14:paraId="1BDDA80A" w14:textId="77777777" w:rsidR="00E72FC2" w:rsidRDefault="00000000">
            <w:pPr>
              <w:spacing w:before="20" w:after="20"/>
            </w:pPr>
            <w:r>
              <w:rPr>
                <w:b/>
                <w:sz w:val="17"/>
              </w:rPr>
              <w:t>Proportion married</w:t>
            </w:r>
          </w:p>
        </w:tc>
        <w:tc>
          <w:tcPr>
            <w:tcW w:w="2494" w:type="dxa"/>
            <w:shd w:val="clear" w:color="auto" w:fill="FFFFFF"/>
          </w:tcPr>
          <w:p w14:paraId="218440CE" w14:textId="77777777" w:rsidR="00E72FC2" w:rsidRDefault="00000000">
            <w:pPr>
              <w:spacing w:before="20" w:after="20"/>
            </w:pPr>
            <w:r>
              <w:rPr>
                <w:sz w:val="17"/>
              </w:rPr>
              <w:t>80% male / 65% female</w:t>
            </w:r>
          </w:p>
        </w:tc>
        <w:tc>
          <w:tcPr>
            <w:tcW w:w="3402" w:type="dxa"/>
            <w:shd w:val="clear" w:color="auto" w:fill="FFFFFF"/>
          </w:tcPr>
          <w:p w14:paraId="69B6E903" w14:textId="77777777" w:rsidR="00E72FC2" w:rsidRDefault="00000000">
            <w:pPr>
              <w:spacing w:before="20" w:after="20"/>
            </w:pPr>
            <w:r>
              <w:rPr>
                <w:sz w:val="17"/>
              </w:rPr>
              <w:t>At retirement</w:t>
            </w:r>
          </w:p>
        </w:tc>
      </w:tr>
      <w:tr w:rsidR="00E72FC2" w14:paraId="717899B7" w14:textId="77777777">
        <w:trPr>
          <w:jc w:val="center"/>
        </w:trPr>
        <w:tc>
          <w:tcPr>
            <w:tcW w:w="2835" w:type="dxa"/>
            <w:shd w:val="clear" w:color="auto" w:fill="FFFFFF"/>
          </w:tcPr>
          <w:p w14:paraId="4EAC128F" w14:textId="77777777" w:rsidR="00E72FC2" w:rsidRDefault="00000000">
            <w:pPr>
              <w:spacing w:before="20" w:after="20"/>
            </w:pPr>
            <w:r>
              <w:rPr>
                <w:b/>
                <w:sz w:val="17"/>
              </w:rPr>
              <w:t>Growth assets</w:t>
            </w:r>
          </w:p>
        </w:tc>
        <w:tc>
          <w:tcPr>
            <w:tcW w:w="2494" w:type="dxa"/>
            <w:shd w:val="clear" w:color="auto" w:fill="FFFFFF"/>
          </w:tcPr>
          <w:p w14:paraId="3A50C49A" w14:textId="77777777" w:rsidR="00E72FC2" w:rsidRDefault="00000000">
            <w:pPr>
              <w:spacing w:before="20" w:after="20"/>
            </w:pPr>
            <w:r>
              <w:rPr>
                <w:sz w:val="17"/>
              </w:rPr>
              <w:t>25%, gilts +3.5%, 15% vol</w:t>
            </w:r>
          </w:p>
        </w:tc>
        <w:tc>
          <w:tcPr>
            <w:tcW w:w="3402" w:type="dxa"/>
            <w:shd w:val="clear" w:color="auto" w:fill="FFFFFF"/>
          </w:tcPr>
          <w:p w14:paraId="47931AD1" w14:textId="77777777" w:rsidR="00E72FC2" w:rsidRDefault="00000000">
            <w:pPr>
              <w:spacing w:before="20" w:after="20"/>
            </w:pPr>
            <w:r>
              <w:rPr>
                <w:sz w:val="17"/>
              </w:rPr>
              <w:t>Purple Book-style allocation</w:t>
            </w:r>
          </w:p>
        </w:tc>
      </w:tr>
      <w:tr w:rsidR="00E72FC2" w14:paraId="5FD989C9" w14:textId="77777777">
        <w:trPr>
          <w:jc w:val="center"/>
        </w:trPr>
        <w:tc>
          <w:tcPr>
            <w:tcW w:w="2835" w:type="dxa"/>
            <w:shd w:val="clear" w:color="auto" w:fill="FFFFFF"/>
          </w:tcPr>
          <w:p w14:paraId="3AAE00DC" w14:textId="77777777" w:rsidR="00E72FC2" w:rsidRDefault="00000000">
            <w:pPr>
              <w:spacing w:before="20" w:after="20"/>
            </w:pPr>
            <w:r>
              <w:rPr>
                <w:b/>
                <w:sz w:val="17"/>
              </w:rPr>
              <w:t>Hedge ratio</w:t>
            </w:r>
          </w:p>
        </w:tc>
        <w:tc>
          <w:tcPr>
            <w:tcW w:w="2494" w:type="dxa"/>
            <w:shd w:val="clear" w:color="auto" w:fill="FFFFFF"/>
          </w:tcPr>
          <w:p w14:paraId="4063C9AB" w14:textId="77777777" w:rsidR="00E72FC2" w:rsidRDefault="00000000">
            <w:pPr>
              <w:spacing w:before="20" w:after="20"/>
            </w:pPr>
            <w:r>
              <w:rPr>
                <w:sz w:val="17"/>
              </w:rPr>
              <w:t>80% of TP liabilities</w:t>
            </w:r>
          </w:p>
        </w:tc>
        <w:tc>
          <w:tcPr>
            <w:tcW w:w="3402" w:type="dxa"/>
            <w:shd w:val="clear" w:color="auto" w:fill="FFFFFF"/>
          </w:tcPr>
          <w:p w14:paraId="4F3C857A" w14:textId="77777777" w:rsidR="00E72FC2" w:rsidRDefault="00000000">
            <w:pPr>
              <w:spacing w:before="20" w:after="20"/>
            </w:pPr>
            <w:r>
              <w:rPr>
                <w:sz w:val="17"/>
              </w:rPr>
              <w:t>Purple Book average</w:t>
            </w:r>
          </w:p>
        </w:tc>
      </w:tr>
      <w:tr w:rsidR="00E72FC2" w14:paraId="018EE3C3" w14:textId="77777777">
        <w:trPr>
          <w:jc w:val="center"/>
        </w:trPr>
        <w:tc>
          <w:tcPr>
            <w:tcW w:w="2835" w:type="dxa"/>
            <w:shd w:val="clear" w:color="auto" w:fill="FFFFFF"/>
          </w:tcPr>
          <w:p w14:paraId="3787D683" w14:textId="77777777" w:rsidR="00E72FC2" w:rsidRDefault="00000000">
            <w:pPr>
              <w:spacing w:before="20" w:after="20"/>
            </w:pPr>
            <w:r>
              <w:rPr>
                <w:b/>
                <w:sz w:val="17"/>
              </w:rPr>
              <w:t>Simulations</w:t>
            </w:r>
          </w:p>
        </w:tc>
        <w:tc>
          <w:tcPr>
            <w:tcW w:w="2494" w:type="dxa"/>
            <w:shd w:val="clear" w:color="auto" w:fill="FFFFFF"/>
          </w:tcPr>
          <w:p w14:paraId="713D280B" w14:textId="77777777" w:rsidR="00E72FC2" w:rsidRDefault="00000000">
            <w:pPr>
              <w:spacing w:before="20" w:after="20"/>
            </w:pPr>
            <w:r>
              <w:rPr>
                <w:sz w:val="17"/>
              </w:rPr>
              <w:t>5,000 over 20 years</w:t>
            </w:r>
          </w:p>
        </w:tc>
        <w:tc>
          <w:tcPr>
            <w:tcW w:w="3402" w:type="dxa"/>
            <w:shd w:val="clear" w:color="auto" w:fill="FFFFFF"/>
          </w:tcPr>
          <w:p w14:paraId="523620A3" w14:textId="77777777" w:rsidR="00E72FC2" w:rsidRDefault="00000000">
            <w:pPr>
              <w:spacing w:before="20" w:after="20"/>
            </w:pPr>
            <w:r>
              <w:rPr>
                <w:sz w:val="17"/>
              </w:rPr>
              <w:t>Enough for convergence</w:t>
            </w:r>
          </w:p>
        </w:tc>
      </w:tr>
    </w:tbl>
    <w:p w14:paraId="61C45B72" w14:textId="59003330" w:rsidR="00E72FC2" w:rsidRDefault="00E72FC2">
      <w:pPr>
        <w:spacing w:after="0"/>
      </w:pPr>
    </w:p>
    <w:sectPr w:rsidR="00E72FC2" w:rsidSect="00034616">
      <w:footerReference w:type="default" r:id="rId14"/>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8D2B8" w14:textId="77777777" w:rsidR="009F1AC0" w:rsidRDefault="009F1AC0">
      <w:pPr>
        <w:spacing w:after="0" w:line="240" w:lineRule="auto"/>
      </w:pPr>
      <w:r>
        <w:separator/>
      </w:r>
    </w:p>
  </w:endnote>
  <w:endnote w:type="continuationSeparator" w:id="0">
    <w:p w14:paraId="30D95D26" w14:textId="77777777" w:rsidR="009F1AC0" w:rsidRDefault="009F1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A375" w14:textId="1777D33E" w:rsidR="00E72FC2" w:rsidRDefault="00000000">
    <w:pPr>
      <w:pStyle w:val="Footer"/>
      <w:jc w:val="center"/>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E540E7">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2516E" w14:textId="77777777" w:rsidR="009F1AC0" w:rsidRDefault="009F1AC0">
      <w:pPr>
        <w:spacing w:after="0" w:line="240" w:lineRule="auto"/>
      </w:pPr>
      <w:r>
        <w:separator/>
      </w:r>
    </w:p>
  </w:footnote>
  <w:footnote w:type="continuationSeparator" w:id="0">
    <w:p w14:paraId="591A382D" w14:textId="77777777" w:rsidR="009F1AC0" w:rsidRDefault="009F1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322905">
    <w:abstractNumId w:val="8"/>
  </w:num>
  <w:num w:numId="2" w16cid:durableId="1064067456">
    <w:abstractNumId w:val="6"/>
  </w:num>
  <w:num w:numId="3" w16cid:durableId="1581521909">
    <w:abstractNumId w:val="5"/>
  </w:num>
  <w:num w:numId="4" w16cid:durableId="1242301770">
    <w:abstractNumId w:val="4"/>
  </w:num>
  <w:num w:numId="5" w16cid:durableId="1892186450">
    <w:abstractNumId w:val="7"/>
  </w:num>
  <w:num w:numId="6" w16cid:durableId="1346830517">
    <w:abstractNumId w:val="3"/>
  </w:num>
  <w:num w:numId="7" w16cid:durableId="491458531">
    <w:abstractNumId w:val="2"/>
  </w:num>
  <w:num w:numId="8" w16cid:durableId="839001239">
    <w:abstractNumId w:val="1"/>
  </w:num>
  <w:num w:numId="9" w16cid:durableId="213039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F8C"/>
    <w:rsid w:val="0029639D"/>
    <w:rsid w:val="00326F90"/>
    <w:rsid w:val="00503FFE"/>
    <w:rsid w:val="00574B11"/>
    <w:rsid w:val="007F54C0"/>
    <w:rsid w:val="008E581A"/>
    <w:rsid w:val="009C0C76"/>
    <w:rsid w:val="009F1AC0"/>
    <w:rsid w:val="00A25D05"/>
    <w:rsid w:val="00AA1D8D"/>
    <w:rsid w:val="00B47730"/>
    <w:rsid w:val="00CB0664"/>
    <w:rsid w:val="00CF6701"/>
    <w:rsid w:val="00E540E7"/>
    <w:rsid w:val="00E72FC2"/>
    <w:rsid w:val="00EC7D54"/>
    <w:rsid w:val="00F25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21DE77E"/>
  <w14:defaultImageDpi w14:val="300"/>
  <w15:docId w15:val="{51F0452E-F27E-4283-95F8-AA8C3289C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Cheung</cp:lastModifiedBy>
  <cp:revision>7</cp:revision>
  <cp:lastPrinted>2026-09-04T17:48:00Z</cp:lastPrinted>
  <dcterms:created xsi:type="dcterms:W3CDTF">2013-12-23T23:15:00Z</dcterms:created>
  <dcterms:modified xsi:type="dcterms:W3CDTF">2026-09-10T15:42:00Z</dcterms:modified>
  <cp:category/>
</cp:coreProperties>
</file>