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F546" w14:textId="2FD57474" w:rsidR="007B2047" w:rsidRPr="00592562" w:rsidRDefault="00000000">
      <w:pPr>
        <w:pStyle w:val="Heading1"/>
        <w:rPr>
          <w:rFonts w:ascii="Times New Roman" w:hAnsi="Times New Roman" w:cs="Times New Roman"/>
        </w:rPr>
      </w:pPr>
      <w:r w:rsidRPr="00592562">
        <w:rPr>
          <w:rFonts w:ascii="Times New Roman" w:hAnsi="Times New Roman" w:cs="Times New Roman"/>
        </w:rPr>
        <w:t>Individual Case Safety Report (ICSR) Workflow Simulation Projec</w:t>
      </w:r>
      <w:r w:rsidR="008A72B5" w:rsidRPr="00592562">
        <w:rPr>
          <w:rFonts w:ascii="Times New Roman" w:hAnsi="Times New Roman" w:cs="Times New Roman"/>
        </w:rPr>
        <w:t>t</w:t>
      </w:r>
    </w:p>
    <w:p w14:paraId="51107BA2" w14:textId="77777777" w:rsidR="007B2047" w:rsidRPr="00592562" w:rsidRDefault="00000000">
      <w:pPr>
        <w:pStyle w:val="Heading2"/>
        <w:rPr>
          <w:rFonts w:ascii="Times New Roman" w:hAnsi="Times New Roman" w:cs="Times New Roman"/>
        </w:rPr>
      </w:pPr>
      <w:r w:rsidRPr="00592562">
        <w:rPr>
          <w:rFonts w:ascii="Times New Roman" w:hAnsi="Times New Roman" w:cs="Times New Roman"/>
        </w:rPr>
        <w:t>1. Introduction</w:t>
      </w:r>
    </w:p>
    <w:p w14:paraId="0063E3C7" w14:textId="77777777" w:rsidR="007B2047" w:rsidRPr="00592562" w:rsidRDefault="00000000" w:rsidP="007B46CC">
      <w:pPr>
        <w:jc w:val="both"/>
        <w:rPr>
          <w:rFonts w:ascii="Times New Roman" w:hAnsi="Times New Roman" w:cs="Times New Roman"/>
        </w:rPr>
      </w:pPr>
      <w:r w:rsidRPr="00592562">
        <w:rPr>
          <w:rFonts w:ascii="Times New Roman" w:hAnsi="Times New Roman" w:cs="Times New Roman"/>
        </w:rPr>
        <w:t>This mini-project demonstrates a simulated pharmacovigilance workflow for Individual Case Safety Reports (ICSRs) based on publicly available data. The purpose is to understand how ADR case data is received, processed, reviewed, and reported according to pharmacovigilance standards.</w:t>
      </w:r>
    </w:p>
    <w:p w14:paraId="1325E851" w14:textId="77777777" w:rsidR="007B2047" w:rsidRPr="00592562" w:rsidRDefault="00000000">
      <w:pPr>
        <w:pStyle w:val="Heading2"/>
        <w:rPr>
          <w:rFonts w:ascii="Times New Roman" w:hAnsi="Times New Roman" w:cs="Times New Roman"/>
        </w:rPr>
      </w:pPr>
      <w:r w:rsidRPr="00592562">
        <w:rPr>
          <w:rFonts w:ascii="Times New Roman" w:hAnsi="Times New Roman" w:cs="Times New Roman"/>
        </w:rPr>
        <w:t>2. Data Source</w:t>
      </w:r>
    </w:p>
    <w:p w14:paraId="304E268C" w14:textId="716B84B4" w:rsidR="007B2047" w:rsidRPr="00592562" w:rsidRDefault="00000000" w:rsidP="007B46CC">
      <w:pPr>
        <w:jc w:val="both"/>
        <w:rPr>
          <w:rFonts w:ascii="Times New Roman" w:hAnsi="Times New Roman" w:cs="Times New Roman"/>
        </w:rPr>
      </w:pPr>
      <w:r w:rsidRPr="00592562">
        <w:rPr>
          <w:rFonts w:ascii="Times New Roman" w:hAnsi="Times New Roman" w:cs="Times New Roman"/>
        </w:rPr>
        <w:t xml:space="preserve">The data for this simulation was derived from open databases such as </w:t>
      </w:r>
      <w:r w:rsidR="006D7FD6">
        <w:rPr>
          <w:rFonts w:ascii="Times New Roman" w:hAnsi="Times New Roman" w:cs="Times New Roman"/>
        </w:rPr>
        <w:t xml:space="preserve">Openvigil, </w:t>
      </w:r>
      <w:r w:rsidRPr="00592562">
        <w:rPr>
          <w:rFonts w:ascii="Times New Roman" w:hAnsi="Times New Roman" w:cs="Times New Roman"/>
        </w:rPr>
        <w:t>WHO VigiAccess and FDA FAERS. For demonstration purposes, data related to Amoxicillin-Clavulanic Acid and Ibuprofen were selected, as these drugs are frequently associated with adverse drug reactions (ADRs).</w:t>
      </w:r>
    </w:p>
    <w:p w14:paraId="52F88115" w14:textId="227CD953" w:rsidR="00145D70" w:rsidRDefault="00000000" w:rsidP="00145D70">
      <w:pPr>
        <w:pStyle w:val="Heading2"/>
        <w:rPr>
          <w:rFonts w:ascii="Times New Roman" w:hAnsi="Times New Roman" w:cs="Times New Roman"/>
        </w:rPr>
      </w:pPr>
      <w:r w:rsidRPr="00592562">
        <w:rPr>
          <w:rFonts w:ascii="Times New Roman" w:hAnsi="Times New Roman" w:cs="Times New Roman"/>
        </w:rPr>
        <w:t>3. Simulated Case Data</w:t>
      </w:r>
    </w:p>
    <w:p w14:paraId="569CDFAF" w14:textId="77777777" w:rsidR="00145D70" w:rsidRPr="00145D70" w:rsidRDefault="00145D70" w:rsidP="00145D70"/>
    <w:tbl>
      <w:tblPr>
        <w:tblStyle w:val="TableGrid"/>
        <w:tblW w:w="0" w:type="auto"/>
        <w:tblLook w:val="04A0" w:firstRow="1" w:lastRow="0" w:firstColumn="1" w:lastColumn="0" w:noHBand="0" w:noVBand="1"/>
      </w:tblPr>
      <w:tblGrid>
        <w:gridCol w:w="1240"/>
        <w:gridCol w:w="1469"/>
        <w:gridCol w:w="1411"/>
        <w:gridCol w:w="1553"/>
        <w:gridCol w:w="1648"/>
        <w:gridCol w:w="1309"/>
      </w:tblGrid>
      <w:tr w:rsidR="00145D70" w14:paraId="1393DEEA" w14:textId="77777777" w:rsidTr="00145D70">
        <w:tc>
          <w:tcPr>
            <w:tcW w:w="1438" w:type="dxa"/>
          </w:tcPr>
          <w:p w14:paraId="11FC2DBE" w14:textId="3F5EF910" w:rsidR="00145D70" w:rsidRDefault="00145D70" w:rsidP="00145D70">
            <w:r>
              <w:t>Case ID</w:t>
            </w:r>
          </w:p>
        </w:tc>
        <w:tc>
          <w:tcPr>
            <w:tcW w:w="1438" w:type="dxa"/>
          </w:tcPr>
          <w:p w14:paraId="12738B7F" w14:textId="39DF90BC" w:rsidR="00145D70" w:rsidRDefault="00145D70" w:rsidP="00145D70">
            <w:r>
              <w:t>Drug Name</w:t>
            </w:r>
          </w:p>
        </w:tc>
        <w:tc>
          <w:tcPr>
            <w:tcW w:w="1438" w:type="dxa"/>
          </w:tcPr>
          <w:p w14:paraId="75BB46D3" w14:textId="1E8C6209" w:rsidR="00145D70" w:rsidRDefault="00145D70" w:rsidP="00145D70">
            <w:r>
              <w:t>Patient Age/Gender</w:t>
            </w:r>
          </w:p>
        </w:tc>
        <w:tc>
          <w:tcPr>
            <w:tcW w:w="1438" w:type="dxa"/>
          </w:tcPr>
          <w:p w14:paraId="2C98F5A1" w14:textId="4C6B8662" w:rsidR="00145D70" w:rsidRDefault="00145D70" w:rsidP="00145D70">
            <w:r>
              <w:t>Reported Reaction</w:t>
            </w:r>
          </w:p>
        </w:tc>
        <w:tc>
          <w:tcPr>
            <w:tcW w:w="1439" w:type="dxa"/>
          </w:tcPr>
          <w:p w14:paraId="0313E767" w14:textId="3E377781" w:rsidR="00145D70" w:rsidRDefault="00145D70" w:rsidP="00145D70">
            <w:r>
              <w:t>Outcome</w:t>
            </w:r>
          </w:p>
        </w:tc>
        <w:tc>
          <w:tcPr>
            <w:tcW w:w="1439" w:type="dxa"/>
          </w:tcPr>
          <w:p w14:paraId="2DA0F997" w14:textId="40D55D26" w:rsidR="00145D70" w:rsidRDefault="00290B1F" w:rsidP="00145D70">
            <w:r>
              <w:t>Causality</w:t>
            </w:r>
          </w:p>
        </w:tc>
      </w:tr>
      <w:tr w:rsidR="00145D70" w14:paraId="6335E5A6" w14:textId="77777777" w:rsidTr="00145D70">
        <w:tc>
          <w:tcPr>
            <w:tcW w:w="1438" w:type="dxa"/>
          </w:tcPr>
          <w:p w14:paraId="2ADB854F" w14:textId="2F1A8048" w:rsidR="00145D70" w:rsidRDefault="00145D70" w:rsidP="00145D70">
            <w:r>
              <w:t>DEMO-01</w:t>
            </w:r>
          </w:p>
        </w:tc>
        <w:tc>
          <w:tcPr>
            <w:tcW w:w="1438" w:type="dxa"/>
          </w:tcPr>
          <w:p w14:paraId="4295FA6C" w14:textId="52229881" w:rsidR="00145D70" w:rsidRDefault="00145D70" w:rsidP="00145D70">
            <w:r>
              <w:t>Simvastatin</w:t>
            </w:r>
          </w:p>
        </w:tc>
        <w:tc>
          <w:tcPr>
            <w:tcW w:w="1438" w:type="dxa"/>
          </w:tcPr>
          <w:p w14:paraId="0EB4C918" w14:textId="52DB5175" w:rsidR="00145D70" w:rsidRDefault="00290B1F" w:rsidP="00145D70">
            <w:r>
              <w:t>51/M</w:t>
            </w:r>
          </w:p>
        </w:tc>
        <w:tc>
          <w:tcPr>
            <w:tcW w:w="1438" w:type="dxa"/>
          </w:tcPr>
          <w:p w14:paraId="4893589D" w14:textId="037CD295" w:rsidR="00145D70" w:rsidRDefault="00290B1F" w:rsidP="00145D70">
            <w:r>
              <w:t>Muscle spasms</w:t>
            </w:r>
          </w:p>
        </w:tc>
        <w:tc>
          <w:tcPr>
            <w:tcW w:w="1439" w:type="dxa"/>
          </w:tcPr>
          <w:p w14:paraId="57BB5008" w14:textId="1AA0931C" w:rsidR="00145D70" w:rsidRDefault="00290B1F" w:rsidP="00145D70">
            <w:r>
              <w:t>Recovered</w:t>
            </w:r>
          </w:p>
        </w:tc>
        <w:tc>
          <w:tcPr>
            <w:tcW w:w="1439" w:type="dxa"/>
          </w:tcPr>
          <w:p w14:paraId="47FA2A4F" w14:textId="49BC4F89" w:rsidR="00145D70" w:rsidRDefault="005A7F76" w:rsidP="00145D70">
            <w:r>
              <w:t>Probable</w:t>
            </w:r>
          </w:p>
        </w:tc>
      </w:tr>
      <w:tr w:rsidR="00145D70" w14:paraId="13AD79F5" w14:textId="77777777" w:rsidTr="00145D70">
        <w:tc>
          <w:tcPr>
            <w:tcW w:w="1438" w:type="dxa"/>
          </w:tcPr>
          <w:p w14:paraId="25B8000D" w14:textId="4718F5D7" w:rsidR="00145D70" w:rsidRDefault="00145D70" w:rsidP="00145D70">
            <w:r>
              <w:t>DEMO-02</w:t>
            </w:r>
          </w:p>
        </w:tc>
        <w:tc>
          <w:tcPr>
            <w:tcW w:w="1438" w:type="dxa"/>
          </w:tcPr>
          <w:p w14:paraId="1EE6B809" w14:textId="579B334A" w:rsidR="00145D70" w:rsidRDefault="00145D70" w:rsidP="00145D70">
            <w:r>
              <w:t>Ciprofloxacin</w:t>
            </w:r>
          </w:p>
        </w:tc>
        <w:tc>
          <w:tcPr>
            <w:tcW w:w="1438" w:type="dxa"/>
          </w:tcPr>
          <w:p w14:paraId="142EE56C" w14:textId="4436BEAE" w:rsidR="00145D70" w:rsidRDefault="00290B1F" w:rsidP="00145D70">
            <w:r>
              <w:t>38/F</w:t>
            </w:r>
          </w:p>
        </w:tc>
        <w:tc>
          <w:tcPr>
            <w:tcW w:w="1438" w:type="dxa"/>
          </w:tcPr>
          <w:p w14:paraId="662423E5" w14:textId="2A075771" w:rsidR="00145D70" w:rsidRDefault="00290B1F" w:rsidP="00145D70">
            <w:r>
              <w:t>Tendonitis</w:t>
            </w:r>
          </w:p>
        </w:tc>
        <w:tc>
          <w:tcPr>
            <w:tcW w:w="1439" w:type="dxa"/>
          </w:tcPr>
          <w:p w14:paraId="1381E2DC" w14:textId="39890429" w:rsidR="00145D70" w:rsidRDefault="00290B1F" w:rsidP="00145D70">
            <w:r>
              <w:t>Not Recovered</w:t>
            </w:r>
          </w:p>
        </w:tc>
        <w:tc>
          <w:tcPr>
            <w:tcW w:w="1439" w:type="dxa"/>
          </w:tcPr>
          <w:p w14:paraId="78E8BD27" w14:textId="101D0969" w:rsidR="00145D70" w:rsidRDefault="005A7F76" w:rsidP="00145D70">
            <w:r>
              <w:t>Possible</w:t>
            </w:r>
          </w:p>
        </w:tc>
      </w:tr>
      <w:tr w:rsidR="00145D70" w14:paraId="1BCA52F0" w14:textId="77777777" w:rsidTr="00145D70">
        <w:tc>
          <w:tcPr>
            <w:tcW w:w="1438" w:type="dxa"/>
          </w:tcPr>
          <w:p w14:paraId="012C57FE" w14:textId="6ED46F28" w:rsidR="00145D70" w:rsidRDefault="00145D70" w:rsidP="00145D70">
            <w:r>
              <w:t>DEMO-03</w:t>
            </w:r>
          </w:p>
        </w:tc>
        <w:tc>
          <w:tcPr>
            <w:tcW w:w="1438" w:type="dxa"/>
          </w:tcPr>
          <w:p w14:paraId="1D38504A" w14:textId="25FAD1B7" w:rsidR="00145D70" w:rsidRDefault="00290B1F" w:rsidP="00145D70">
            <w:r>
              <w:t>Montelukast</w:t>
            </w:r>
          </w:p>
        </w:tc>
        <w:tc>
          <w:tcPr>
            <w:tcW w:w="1438" w:type="dxa"/>
          </w:tcPr>
          <w:p w14:paraId="146CF663" w14:textId="474CD305" w:rsidR="00145D70" w:rsidRDefault="00290B1F" w:rsidP="00145D70">
            <w:r>
              <w:t>22/M</w:t>
            </w:r>
          </w:p>
        </w:tc>
        <w:tc>
          <w:tcPr>
            <w:tcW w:w="1438" w:type="dxa"/>
          </w:tcPr>
          <w:p w14:paraId="3334E83A" w14:textId="39DEBAB1" w:rsidR="00145D70" w:rsidRDefault="00290B1F" w:rsidP="00145D70">
            <w:r>
              <w:t>Anaphylactic shock</w:t>
            </w:r>
          </w:p>
        </w:tc>
        <w:tc>
          <w:tcPr>
            <w:tcW w:w="1439" w:type="dxa"/>
          </w:tcPr>
          <w:p w14:paraId="0FBDDA5E" w14:textId="761067B4" w:rsidR="00145D70" w:rsidRDefault="00290B1F" w:rsidP="00145D70">
            <w:r>
              <w:t>Hospitalization</w:t>
            </w:r>
          </w:p>
        </w:tc>
        <w:tc>
          <w:tcPr>
            <w:tcW w:w="1439" w:type="dxa"/>
          </w:tcPr>
          <w:p w14:paraId="016F0974" w14:textId="2EFCBA9F" w:rsidR="00145D70" w:rsidRDefault="005A7F76" w:rsidP="00145D70">
            <w:r>
              <w:t>Definite</w:t>
            </w:r>
          </w:p>
        </w:tc>
      </w:tr>
      <w:tr w:rsidR="00145D70" w14:paraId="289793AC" w14:textId="77777777" w:rsidTr="00145D70">
        <w:tc>
          <w:tcPr>
            <w:tcW w:w="1438" w:type="dxa"/>
          </w:tcPr>
          <w:p w14:paraId="3BDC8E54" w14:textId="6F44E23F" w:rsidR="00145D70" w:rsidRDefault="00145D70" w:rsidP="00145D70">
            <w:r>
              <w:t>DEMO-04</w:t>
            </w:r>
          </w:p>
        </w:tc>
        <w:tc>
          <w:tcPr>
            <w:tcW w:w="1438" w:type="dxa"/>
          </w:tcPr>
          <w:p w14:paraId="174CFEA4" w14:textId="5CECD031" w:rsidR="00145D70" w:rsidRDefault="00290B1F" w:rsidP="00145D70">
            <w:r>
              <w:t>Paracetamol</w:t>
            </w:r>
          </w:p>
        </w:tc>
        <w:tc>
          <w:tcPr>
            <w:tcW w:w="1438" w:type="dxa"/>
          </w:tcPr>
          <w:p w14:paraId="7FD1900C" w14:textId="2F1DE9D0" w:rsidR="00145D70" w:rsidRDefault="00290B1F" w:rsidP="00145D70">
            <w:r>
              <w:t>17/F</w:t>
            </w:r>
          </w:p>
        </w:tc>
        <w:tc>
          <w:tcPr>
            <w:tcW w:w="1438" w:type="dxa"/>
          </w:tcPr>
          <w:p w14:paraId="25901E96" w14:textId="10B426DD" w:rsidR="00145D70" w:rsidRDefault="00290B1F" w:rsidP="00145D70">
            <w:r>
              <w:t>Diarrhea</w:t>
            </w:r>
          </w:p>
        </w:tc>
        <w:tc>
          <w:tcPr>
            <w:tcW w:w="1439" w:type="dxa"/>
          </w:tcPr>
          <w:p w14:paraId="24F22EA5" w14:textId="656B3C0D" w:rsidR="00145D70" w:rsidRDefault="00290B1F" w:rsidP="00145D70">
            <w:r>
              <w:t>Not Recovered</w:t>
            </w:r>
          </w:p>
        </w:tc>
        <w:tc>
          <w:tcPr>
            <w:tcW w:w="1439" w:type="dxa"/>
          </w:tcPr>
          <w:p w14:paraId="79F434B9" w14:textId="2A1CA42E" w:rsidR="00145D70" w:rsidRDefault="00290B1F" w:rsidP="00145D70">
            <w:r>
              <w:t>Possible</w:t>
            </w:r>
          </w:p>
        </w:tc>
      </w:tr>
      <w:tr w:rsidR="00145D70" w14:paraId="371F41F4" w14:textId="77777777" w:rsidTr="00145D70">
        <w:tc>
          <w:tcPr>
            <w:tcW w:w="1438" w:type="dxa"/>
          </w:tcPr>
          <w:p w14:paraId="5A08E7B4" w14:textId="1C266C1A" w:rsidR="00145D70" w:rsidRDefault="00145D70" w:rsidP="00145D70">
            <w:r>
              <w:t>DEMO-05</w:t>
            </w:r>
          </w:p>
        </w:tc>
        <w:tc>
          <w:tcPr>
            <w:tcW w:w="1438" w:type="dxa"/>
          </w:tcPr>
          <w:p w14:paraId="22ADC367" w14:textId="6E76ECD8" w:rsidR="00145D70" w:rsidRDefault="00290B1F" w:rsidP="00145D70">
            <w:r>
              <w:t>Atenolol-Amlodipine</w:t>
            </w:r>
          </w:p>
        </w:tc>
        <w:tc>
          <w:tcPr>
            <w:tcW w:w="1438" w:type="dxa"/>
          </w:tcPr>
          <w:p w14:paraId="7F2E062E" w14:textId="3049701C" w:rsidR="00145D70" w:rsidRDefault="00290B1F" w:rsidP="00145D70">
            <w:r>
              <w:t>65/F</w:t>
            </w:r>
          </w:p>
        </w:tc>
        <w:tc>
          <w:tcPr>
            <w:tcW w:w="1438" w:type="dxa"/>
          </w:tcPr>
          <w:p w14:paraId="23B002A8" w14:textId="0DA8CCB2" w:rsidR="00145D70" w:rsidRDefault="00290B1F" w:rsidP="00145D70">
            <w:r>
              <w:t>Hypotension</w:t>
            </w:r>
          </w:p>
        </w:tc>
        <w:tc>
          <w:tcPr>
            <w:tcW w:w="1439" w:type="dxa"/>
          </w:tcPr>
          <w:p w14:paraId="3262A8E5" w14:textId="21B24EDC" w:rsidR="00145D70" w:rsidRDefault="00290B1F" w:rsidP="00145D70">
            <w:r>
              <w:t>Hospitalization</w:t>
            </w:r>
          </w:p>
        </w:tc>
        <w:tc>
          <w:tcPr>
            <w:tcW w:w="1439" w:type="dxa"/>
          </w:tcPr>
          <w:p w14:paraId="0DF62612" w14:textId="73AF33C2" w:rsidR="00145D70" w:rsidRDefault="00290B1F" w:rsidP="00145D70">
            <w:r>
              <w:t>Probable</w:t>
            </w:r>
          </w:p>
        </w:tc>
      </w:tr>
      <w:tr w:rsidR="00145D70" w14:paraId="2FF0516F" w14:textId="77777777" w:rsidTr="00145D70">
        <w:tc>
          <w:tcPr>
            <w:tcW w:w="1438" w:type="dxa"/>
          </w:tcPr>
          <w:p w14:paraId="4531F712" w14:textId="771220D6" w:rsidR="00145D70" w:rsidRDefault="00145D70" w:rsidP="00145D70">
            <w:r>
              <w:t>DEMO-06</w:t>
            </w:r>
          </w:p>
        </w:tc>
        <w:tc>
          <w:tcPr>
            <w:tcW w:w="1438" w:type="dxa"/>
          </w:tcPr>
          <w:p w14:paraId="28E047AE" w14:textId="0518A6BE" w:rsidR="00145D70" w:rsidRDefault="00290B1F" w:rsidP="00145D70">
            <w:r>
              <w:t>Salmeterol</w:t>
            </w:r>
          </w:p>
        </w:tc>
        <w:tc>
          <w:tcPr>
            <w:tcW w:w="1438" w:type="dxa"/>
          </w:tcPr>
          <w:p w14:paraId="3F2AA565" w14:textId="62DAF2B3" w:rsidR="00145D70" w:rsidRDefault="00290B1F" w:rsidP="00145D70">
            <w:r>
              <w:t>33/M</w:t>
            </w:r>
          </w:p>
        </w:tc>
        <w:tc>
          <w:tcPr>
            <w:tcW w:w="1438" w:type="dxa"/>
          </w:tcPr>
          <w:p w14:paraId="6217DC98" w14:textId="7773D135" w:rsidR="00145D70" w:rsidRDefault="00290B1F" w:rsidP="00145D70">
            <w:r>
              <w:t>Tremors</w:t>
            </w:r>
          </w:p>
        </w:tc>
        <w:tc>
          <w:tcPr>
            <w:tcW w:w="1439" w:type="dxa"/>
          </w:tcPr>
          <w:p w14:paraId="4876A94E" w14:textId="7D55BB35" w:rsidR="00145D70" w:rsidRDefault="00290B1F" w:rsidP="00145D70">
            <w:r>
              <w:t>Recovered</w:t>
            </w:r>
          </w:p>
        </w:tc>
        <w:tc>
          <w:tcPr>
            <w:tcW w:w="1439" w:type="dxa"/>
          </w:tcPr>
          <w:p w14:paraId="0B49F95E" w14:textId="7D1FCD27" w:rsidR="00145D70" w:rsidRDefault="00290B1F" w:rsidP="00145D70">
            <w:r>
              <w:t>Probable</w:t>
            </w:r>
          </w:p>
        </w:tc>
      </w:tr>
      <w:tr w:rsidR="00145D70" w14:paraId="74573C3A" w14:textId="77777777" w:rsidTr="00145D70">
        <w:tc>
          <w:tcPr>
            <w:tcW w:w="1438" w:type="dxa"/>
          </w:tcPr>
          <w:p w14:paraId="3170D156" w14:textId="69DD437D" w:rsidR="00145D70" w:rsidRDefault="00145D70" w:rsidP="00145D70">
            <w:r>
              <w:t>DEMO-07</w:t>
            </w:r>
          </w:p>
        </w:tc>
        <w:tc>
          <w:tcPr>
            <w:tcW w:w="1438" w:type="dxa"/>
          </w:tcPr>
          <w:p w14:paraId="501BAB0E" w14:textId="67801FB2" w:rsidR="00145D70" w:rsidRDefault="00290B1F" w:rsidP="00145D70">
            <w:r>
              <w:t>Aceclofenac</w:t>
            </w:r>
          </w:p>
        </w:tc>
        <w:tc>
          <w:tcPr>
            <w:tcW w:w="1438" w:type="dxa"/>
          </w:tcPr>
          <w:p w14:paraId="507E179E" w14:textId="7C25A87F" w:rsidR="00145D70" w:rsidRDefault="00290B1F" w:rsidP="00145D70">
            <w:r>
              <w:t>29/F</w:t>
            </w:r>
          </w:p>
        </w:tc>
        <w:tc>
          <w:tcPr>
            <w:tcW w:w="1438" w:type="dxa"/>
          </w:tcPr>
          <w:p w14:paraId="105CF8F2" w14:textId="1EC29774" w:rsidR="00145D70" w:rsidRDefault="00290B1F" w:rsidP="00145D70">
            <w:r>
              <w:t>Indigestion</w:t>
            </w:r>
          </w:p>
        </w:tc>
        <w:tc>
          <w:tcPr>
            <w:tcW w:w="1439" w:type="dxa"/>
          </w:tcPr>
          <w:p w14:paraId="59C708A5" w14:textId="1F2ECF91" w:rsidR="00145D70" w:rsidRDefault="00290B1F" w:rsidP="00145D70">
            <w:r>
              <w:t>Recovered</w:t>
            </w:r>
          </w:p>
        </w:tc>
        <w:tc>
          <w:tcPr>
            <w:tcW w:w="1439" w:type="dxa"/>
          </w:tcPr>
          <w:p w14:paraId="43A38CA4" w14:textId="1EBBC310" w:rsidR="00145D70" w:rsidRDefault="00290B1F" w:rsidP="00145D70">
            <w:r>
              <w:t>Possible</w:t>
            </w:r>
          </w:p>
        </w:tc>
      </w:tr>
      <w:tr w:rsidR="00145D70" w14:paraId="157FB8EC" w14:textId="77777777" w:rsidTr="00145D70">
        <w:tc>
          <w:tcPr>
            <w:tcW w:w="1438" w:type="dxa"/>
          </w:tcPr>
          <w:p w14:paraId="7CE80BEC" w14:textId="201F93E9" w:rsidR="00145D70" w:rsidRDefault="00145D70" w:rsidP="00145D70">
            <w:r>
              <w:t>DEMO-08</w:t>
            </w:r>
          </w:p>
        </w:tc>
        <w:tc>
          <w:tcPr>
            <w:tcW w:w="1438" w:type="dxa"/>
          </w:tcPr>
          <w:p w14:paraId="6D1E4B40" w14:textId="39983ED7" w:rsidR="00145D70" w:rsidRDefault="00290B1F" w:rsidP="00145D70">
            <w:r>
              <w:t>Ceftriaxone</w:t>
            </w:r>
          </w:p>
        </w:tc>
        <w:tc>
          <w:tcPr>
            <w:tcW w:w="1438" w:type="dxa"/>
          </w:tcPr>
          <w:p w14:paraId="3E39D375" w14:textId="1EFE6054" w:rsidR="00145D70" w:rsidRDefault="00290B1F" w:rsidP="00145D70">
            <w:r>
              <w:t>44/F</w:t>
            </w:r>
          </w:p>
        </w:tc>
        <w:tc>
          <w:tcPr>
            <w:tcW w:w="1438" w:type="dxa"/>
          </w:tcPr>
          <w:p w14:paraId="4B71F70F" w14:textId="3671F5F2" w:rsidR="00145D70" w:rsidRDefault="00290B1F" w:rsidP="00145D70">
            <w:r>
              <w:t>Injection site edema</w:t>
            </w:r>
          </w:p>
        </w:tc>
        <w:tc>
          <w:tcPr>
            <w:tcW w:w="1439" w:type="dxa"/>
          </w:tcPr>
          <w:p w14:paraId="6E1FE632" w14:textId="1E9F1C4E" w:rsidR="00145D70" w:rsidRDefault="00290B1F" w:rsidP="00145D70">
            <w:r>
              <w:t>Recovered</w:t>
            </w:r>
          </w:p>
        </w:tc>
        <w:tc>
          <w:tcPr>
            <w:tcW w:w="1439" w:type="dxa"/>
          </w:tcPr>
          <w:p w14:paraId="58CEEDA5" w14:textId="0C415132" w:rsidR="00145D70" w:rsidRDefault="00290B1F" w:rsidP="00145D70">
            <w:r>
              <w:t>Definite</w:t>
            </w:r>
          </w:p>
        </w:tc>
      </w:tr>
      <w:tr w:rsidR="00145D70" w14:paraId="10A7425A" w14:textId="77777777" w:rsidTr="00145D70">
        <w:tc>
          <w:tcPr>
            <w:tcW w:w="1438" w:type="dxa"/>
          </w:tcPr>
          <w:p w14:paraId="6FA67F5A" w14:textId="65C6A0CA" w:rsidR="00145D70" w:rsidRDefault="00145D70" w:rsidP="00145D70">
            <w:r>
              <w:t>DEMO-09</w:t>
            </w:r>
          </w:p>
        </w:tc>
        <w:tc>
          <w:tcPr>
            <w:tcW w:w="1438" w:type="dxa"/>
          </w:tcPr>
          <w:p w14:paraId="61709974" w14:textId="2E989133" w:rsidR="00145D70" w:rsidRDefault="00290B1F" w:rsidP="00145D70">
            <w:r>
              <w:t>Amoxicillin-clavulanic acid</w:t>
            </w:r>
          </w:p>
        </w:tc>
        <w:tc>
          <w:tcPr>
            <w:tcW w:w="1438" w:type="dxa"/>
          </w:tcPr>
          <w:p w14:paraId="37BBD76D" w14:textId="5C396896" w:rsidR="00145D70" w:rsidRDefault="00290B1F" w:rsidP="00145D70">
            <w:r>
              <w:t>12/M</w:t>
            </w:r>
          </w:p>
        </w:tc>
        <w:tc>
          <w:tcPr>
            <w:tcW w:w="1438" w:type="dxa"/>
          </w:tcPr>
          <w:p w14:paraId="3C4433BC" w14:textId="390922A5" w:rsidR="00145D70" w:rsidRDefault="00290B1F" w:rsidP="00145D70">
            <w:r>
              <w:t>Skin rash</w:t>
            </w:r>
          </w:p>
        </w:tc>
        <w:tc>
          <w:tcPr>
            <w:tcW w:w="1439" w:type="dxa"/>
          </w:tcPr>
          <w:p w14:paraId="1F81838C" w14:textId="3DACE5B5" w:rsidR="00145D70" w:rsidRDefault="00290B1F" w:rsidP="00145D70">
            <w:r>
              <w:t>Recovered</w:t>
            </w:r>
          </w:p>
        </w:tc>
        <w:tc>
          <w:tcPr>
            <w:tcW w:w="1439" w:type="dxa"/>
          </w:tcPr>
          <w:p w14:paraId="46A059F1" w14:textId="3FD060B5" w:rsidR="00145D70" w:rsidRDefault="00290B1F" w:rsidP="00145D70">
            <w:r>
              <w:t>Probable</w:t>
            </w:r>
          </w:p>
        </w:tc>
      </w:tr>
      <w:tr w:rsidR="00145D70" w14:paraId="5B9EC7B1" w14:textId="77777777" w:rsidTr="00145D70">
        <w:tc>
          <w:tcPr>
            <w:tcW w:w="1438" w:type="dxa"/>
          </w:tcPr>
          <w:p w14:paraId="4AA8A148" w14:textId="03126024" w:rsidR="00145D70" w:rsidRDefault="00145D70" w:rsidP="00145D70">
            <w:r>
              <w:t>DEMO-10</w:t>
            </w:r>
          </w:p>
        </w:tc>
        <w:tc>
          <w:tcPr>
            <w:tcW w:w="1438" w:type="dxa"/>
          </w:tcPr>
          <w:p w14:paraId="42402950" w14:textId="290A5B7F" w:rsidR="00145D70" w:rsidRDefault="00290B1F" w:rsidP="00145D70">
            <w:r>
              <w:t>Metformin-Glimiperide</w:t>
            </w:r>
          </w:p>
        </w:tc>
        <w:tc>
          <w:tcPr>
            <w:tcW w:w="1438" w:type="dxa"/>
          </w:tcPr>
          <w:p w14:paraId="327DB9F4" w14:textId="68C25275" w:rsidR="00145D70" w:rsidRDefault="00290B1F" w:rsidP="00145D70">
            <w:r>
              <w:t>76/M</w:t>
            </w:r>
          </w:p>
        </w:tc>
        <w:tc>
          <w:tcPr>
            <w:tcW w:w="1438" w:type="dxa"/>
          </w:tcPr>
          <w:p w14:paraId="1C53A1F4" w14:textId="56346421" w:rsidR="00145D70" w:rsidRDefault="00290B1F" w:rsidP="00145D70">
            <w:r>
              <w:t>Hypoglycemia</w:t>
            </w:r>
          </w:p>
        </w:tc>
        <w:tc>
          <w:tcPr>
            <w:tcW w:w="1439" w:type="dxa"/>
          </w:tcPr>
          <w:p w14:paraId="4F78DF16" w14:textId="1A56ABE1" w:rsidR="00145D70" w:rsidRDefault="00290B1F" w:rsidP="00145D70">
            <w:r>
              <w:t>Hospitalization</w:t>
            </w:r>
          </w:p>
        </w:tc>
        <w:tc>
          <w:tcPr>
            <w:tcW w:w="1439" w:type="dxa"/>
          </w:tcPr>
          <w:p w14:paraId="6B1339D6" w14:textId="31C8580B" w:rsidR="00145D70" w:rsidRDefault="00290B1F" w:rsidP="00145D70">
            <w:r>
              <w:t>Definite</w:t>
            </w:r>
          </w:p>
        </w:tc>
      </w:tr>
    </w:tbl>
    <w:p w14:paraId="373F9D71" w14:textId="77777777" w:rsidR="00145D70" w:rsidRPr="00145D70" w:rsidRDefault="00145D70" w:rsidP="00145D70"/>
    <w:p w14:paraId="2DAEE1AD" w14:textId="77777777" w:rsidR="007B2047" w:rsidRPr="00592562" w:rsidRDefault="00000000">
      <w:pPr>
        <w:pStyle w:val="Heading2"/>
        <w:rPr>
          <w:rFonts w:ascii="Times New Roman" w:hAnsi="Times New Roman" w:cs="Times New Roman"/>
        </w:rPr>
      </w:pPr>
      <w:r w:rsidRPr="00592562">
        <w:rPr>
          <w:rFonts w:ascii="Times New Roman" w:hAnsi="Times New Roman" w:cs="Times New Roman"/>
        </w:rPr>
        <w:t>4. ICSR Workflow Simulation</w:t>
      </w:r>
    </w:p>
    <w:p w14:paraId="29147B12" w14:textId="77777777" w:rsidR="007B2047" w:rsidRPr="00592562" w:rsidRDefault="00000000">
      <w:pPr>
        <w:pStyle w:val="ListNumber"/>
        <w:rPr>
          <w:rFonts w:ascii="Times New Roman" w:hAnsi="Times New Roman" w:cs="Times New Roman"/>
        </w:rPr>
      </w:pPr>
      <w:r w:rsidRPr="00592562">
        <w:rPr>
          <w:rFonts w:ascii="Times New Roman" w:hAnsi="Times New Roman" w:cs="Times New Roman"/>
        </w:rPr>
        <w:t>Case Receipt &amp; Data Entry – Initial ADR information recorded in standardized format (e.g., MedWatch form).</w:t>
      </w:r>
    </w:p>
    <w:p w14:paraId="11C2377C" w14:textId="77777777" w:rsidR="007B2047" w:rsidRPr="00592562" w:rsidRDefault="00000000">
      <w:pPr>
        <w:pStyle w:val="ListNumber"/>
        <w:rPr>
          <w:rFonts w:ascii="Times New Roman" w:hAnsi="Times New Roman" w:cs="Times New Roman"/>
        </w:rPr>
      </w:pPr>
      <w:r w:rsidRPr="00592562">
        <w:rPr>
          <w:rFonts w:ascii="Times New Roman" w:hAnsi="Times New Roman" w:cs="Times New Roman"/>
        </w:rPr>
        <w:t>Case Validation – Verified for minimum criteria: identifiable patient, reporter, suspect drug, and event.</w:t>
      </w:r>
    </w:p>
    <w:p w14:paraId="62D750A2" w14:textId="77777777" w:rsidR="007B2047" w:rsidRDefault="00000000">
      <w:pPr>
        <w:pStyle w:val="ListNumber"/>
        <w:rPr>
          <w:rFonts w:ascii="Times New Roman" w:hAnsi="Times New Roman" w:cs="Times New Roman"/>
        </w:rPr>
      </w:pPr>
      <w:r w:rsidRPr="00592562">
        <w:rPr>
          <w:rFonts w:ascii="Times New Roman" w:hAnsi="Times New Roman" w:cs="Times New Roman"/>
        </w:rPr>
        <w:t>Case Triage – Classified as serious or non-serious based on outcome.</w:t>
      </w:r>
    </w:p>
    <w:p w14:paraId="7B7D02AA" w14:textId="6584F733" w:rsidR="00B81EBA" w:rsidRDefault="00B81EBA" w:rsidP="00B81EBA">
      <w:pPr>
        <w:pStyle w:val="ListNumber"/>
        <w:numPr>
          <w:ilvl w:val="0"/>
          <w:numId w:val="0"/>
        </w:numPr>
        <w:ind w:left="360"/>
        <w:rPr>
          <w:rFonts w:ascii="Times New Roman" w:hAnsi="Times New Roman" w:cs="Times New Roman"/>
        </w:rPr>
      </w:pPr>
      <w:r>
        <w:rPr>
          <w:rFonts w:ascii="Times New Roman" w:hAnsi="Times New Roman" w:cs="Times New Roman"/>
        </w:rPr>
        <w:t>Seriousness criteria – Death, Life-threatening, Hospitalization and Disabilisation</w:t>
      </w:r>
    </w:p>
    <w:p w14:paraId="36C5BF90" w14:textId="4BA82434" w:rsidR="00C0489A" w:rsidRPr="00592562" w:rsidRDefault="00C0489A" w:rsidP="00B81EBA">
      <w:pPr>
        <w:pStyle w:val="ListNumber"/>
        <w:numPr>
          <w:ilvl w:val="0"/>
          <w:numId w:val="0"/>
        </w:numPr>
        <w:ind w:left="360"/>
        <w:rPr>
          <w:rFonts w:ascii="Times New Roman" w:hAnsi="Times New Roman" w:cs="Times New Roman"/>
        </w:rPr>
      </w:pPr>
      <w:r>
        <w:rPr>
          <w:rFonts w:ascii="Times New Roman" w:hAnsi="Times New Roman" w:cs="Times New Roman"/>
        </w:rPr>
        <w:t>Non-serious – Recovered, No hospitalization.</w:t>
      </w:r>
    </w:p>
    <w:p w14:paraId="793D46B7" w14:textId="12BA74BB" w:rsidR="007B2047" w:rsidRDefault="00000000">
      <w:pPr>
        <w:pStyle w:val="ListNumber"/>
        <w:rPr>
          <w:rFonts w:ascii="Times New Roman" w:hAnsi="Times New Roman" w:cs="Times New Roman"/>
        </w:rPr>
      </w:pPr>
      <w:r w:rsidRPr="00592562">
        <w:rPr>
          <w:rFonts w:ascii="Times New Roman" w:hAnsi="Times New Roman" w:cs="Times New Roman"/>
        </w:rPr>
        <w:lastRenderedPageBreak/>
        <w:t>Medical Review – Evaluated for causality</w:t>
      </w:r>
      <w:r w:rsidR="00840E20">
        <w:rPr>
          <w:rFonts w:ascii="Times New Roman" w:hAnsi="Times New Roman" w:cs="Times New Roman"/>
        </w:rPr>
        <w:t xml:space="preserve"> (Naranjo assessment scale)</w:t>
      </w:r>
      <w:r w:rsidRPr="00592562">
        <w:rPr>
          <w:rFonts w:ascii="Times New Roman" w:hAnsi="Times New Roman" w:cs="Times New Roman"/>
        </w:rPr>
        <w:t xml:space="preserve"> and completeness; narrative written.</w:t>
      </w:r>
    </w:p>
    <w:p w14:paraId="3C86154B" w14:textId="68C02001" w:rsidR="00C0489A" w:rsidRPr="00C0489A" w:rsidRDefault="00C0489A" w:rsidP="00C0489A">
      <w:pPr>
        <w:pStyle w:val="ListNumber"/>
        <w:numPr>
          <w:ilvl w:val="0"/>
          <w:numId w:val="0"/>
        </w:numPr>
        <w:ind w:left="360"/>
        <w:rPr>
          <w:rFonts w:ascii="Times New Roman" w:hAnsi="Times New Roman" w:cs="Times New Roman"/>
          <w:b/>
          <w:bCs/>
        </w:rPr>
      </w:pPr>
      <w:r w:rsidRPr="00C0489A">
        <w:rPr>
          <w:rFonts w:ascii="Times New Roman" w:hAnsi="Times New Roman" w:cs="Times New Roman"/>
          <w:b/>
          <w:bCs/>
        </w:rPr>
        <w:t>Naranjo assessment scale:</w:t>
      </w:r>
    </w:p>
    <w:p w14:paraId="7DA975DA" w14:textId="77777777" w:rsidR="00C0489A" w:rsidRPr="00C0489A" w:rsidRDefault="00C0489A" w:rsidP="00C0489A">
      <w:pPr>
        <w:pStyle w:val="ListNumber"/>
        <w:numPr>
          <w:ilvl w:val="0"/>
          <w:numId w:val="0"/>
        </w:numPr>
        <w:ind w:left="360"/>
        <w:rPr>
          <w:rFonts w:ascii="Times New Roman" w:hAnsi="Times New Roman" w:cs="Times New Roman"/>
        </w:rPr>
      </w:pPr>
      <w:r w:rsidRPr="00C0489A">
        <w:rPr>
          <w:rFonts w:ascii="Times New Roman" w:hAnsi="Times New Roman" w:cs="Times New Roman"/>
        </w:rPr>
        <w:t xml:space="preserve">The ADR Probability Scale consists of 10 questions that are answered as either Yes, </w:t>
      </w:r>
      <w:proofErr w:type="gramStart"/>
      <w:r w:rsidRPr="00C0489A">
        <w:rPr>
          <w:rFonts w:ascii="Times New Roman" w:hAnsi="Times New Roman" w:cs="Times New Roman"/>
        </w:rPr>
        <w:t>No</w:t>
      </w:r>
      <w:proofErr w:type="gramEnd"/>
      <w:r w:rsidRPr="00C0489A">
        <w:rPr>
          <w:rFonts w:ascii="Times New Roman" w:hAnsi="Times New Roman" w:cs="Times New Roman"/>
        </w:rPr>
        <w:t>, or “Do not know”. Different point values (-1, 0, +1 or +2) are assigned to each answer. A simplified version of the 10 questions is provided below:</w:t>
      </w:r>
    </w:p>
    <w:p w14:paraId="691B30E4" w14:textId="77777777" w:rsidR="00C0489A" w:rsidRPr="00C0489A" w:rsidRDefault="00C0489A" w:rsidP="00C0489A">
      <w:pPr>
        <w:pStyle w:val="ListNumber"/>
        <w:numPr>
          <w:ilvl w:val="0"/>
          <w:numId w:val="10"/>
        </w:numPr>
        <w:rPr>
          <w:rFonts w:ascii="Times New Roman" w:hAnsi="Times New Roman" w:cs="Times New Roman"/>
        </w:rPr>
      </w:pPr>
      <w:r w:rsidRPr="00C0489A">
        <w:rPr>
          <w:rFonts w:ascii="Times New Roman" w:hAnsi="Times New Roman" w:cs="Times New Roman"/>
        </w:rPr>
        <w:t>Are there previous conclusive reports of this reaction?</w:t>
      </w:r>
    </w:p>
    <w:p w14:paraId="532F8F0B" w14:textId="77777777" w:rsidR="00C0489A" w:rsidRPr="00C0489A" w:rsidRDefault="00C0489A" w:rsidP="00C0489A">
      <w:pPr>
        <w:pStyle w:val="ListNumber"/>
        <w:numPr>
          <w:ilvl w:val="0"/>
          <w:numId w:val="10"/>
        </w:numPr>
        <w:rPr>
          <w:rFonts w:ascii="Times New Roman" w:hAnsi="Times New Roman" w:cs="Times New Roman"/>
        </w:rPr>
      </w:pPr>
      <w:r w:rsidRPr="00C0489A">
        <w:rPr>
          <w:rFonts w:ascii="Times New Roman" w:hAnsi="Times New Roman" w:cs="Times New Roman"/>
        </w:rPr>
        <w:t>Did the adverse event appear after the drug was given?</w:t>
      </w:r>
    </w:p>
    <w:p w14:paraId="628F6845" w14:textId="77777777" w:rsidR="00C0489A" w:rsidRPr="00C0489A" w:rsidRDefault="00C0489A" w:rsidP="00C0489A">
      <w:pPr>
        <w:pStyle w:val="ListNumber"/>
        <w:numPr>
          <w:ilvl w:val="0"/>
          <w:numId w:val="10"/>
        </w:numPr>
        <w:rPr>
          <w:rFonts w:ascii="Times New Roman" w:hAnsi="Times New Roman" w:cs="Times New Roman"/>
        </w:rPr>
      </w:pPr>
      <w:r w:rsidRPr="00C0489A">
        <w:rPr>
          <w:rFonts w:ascii="Times New Roman" w:hAnsi="Times New Roman" w:cs="Times New Roman"/>
        </w:rPr>
        <w:t>Did the adverse reaction improve when the drug was discontinued or a specific antagonist was given?</w:t>
      </w:r>
    </w:p>
    <w:p w14:paraId="329FFFA6" w14:textId="77777777" w:rsidR="00C0489A" w:rsidRPr="00C0489A" w:rsidRDefault="00C0489A" w:rsidP="00C0489A">
      <w:pPr>
        <w:pStyle w:val="ListNumber"/>
        <w:numPr>
          <w:ilvl w:val="0"/>
          <w:numId w:val="10"/>
        </w:numPr>
        <w:rPr>
          <w:rFonts w:ascii="Times New Roman" w:hAnsi="Times New Roman" w:cs="Times New Roman"/>
        </w:rPr>
      </w:pPr>
      <w:r w:rsidRPr="00C0489A">
        <w:rPr>
          <w:rFonts w:ascii="Times New Roman" w:hAnsi="Times New Roman" w:cs="Times New Roman"/>
        </w:rPr>
        <w:t>Did the adverse reaction reappear upon readministering the drug?</w:t>
      </w:r>
    </w:p>
    <w:p w14:paraId="3F1F6250" w14:textId="77777777" w:rsidR="00C0489A" w:rsidRPr="00C0489A" w:rsidRDefault="00C0489A" w:rsidP="00C0489A">
      <w:pPr>
        <w:pStyle w:val="ListNumber"/>
        <w:numPr>
          <w:ilvl w:val="0"/>
          <w:numId w:val="10"/>
        </w:numPr>
        <w:rPr>
          <w:rFonts w:ascii="Times New Roman" w:hAnsi="Times New Roman" w:cs="Times New Roman"/>
        </w:rPr>
      </w:pPr>
      <w:r w:rsidRPr="00C0489A">
        <w:rPr>
          <w:rFonts w:ascii="Times New Roman" w:hAnsi="Times New Roman" w:cs="Times New Roman"/>
        </w:rPr>
        <w:t>Were there other possible causes for the reaction?</w:t>
      </w:r>
    </w:p>
    <w:p w14:paraId="320B7D31" w14:textId="77777777" w:rsidR="00C0489A" w:rsidRPr="00C0489A" w:rsidRDefault="00C0489A" w:rsidP="00C0489A">
      <w:pPr>
        <w:pStyle w:val="ListNumber"/>
        <w:numPr>
          <w:ilvl w:val="0"/>
          <w:numId w:val="10"/>
        </w:numPr>
        <w:rPr>
          <w:rFonts w:ascii="Times New Roman" w:hAnsi="Times New Roman" w:cs="Times New Roman"/>
        </w:rPr>
      </w:pPr>
      <w:r w:rsidRPr="00C0489A">
        <w:rPr>
          <w:rFonts w:ascii="Times New Roman" w:hAnsi="Times New Roman" w:cs="Times New Roman"/>
        </w:rPr>
        <w:t>Did the adverse reaction reappear upon administration of placebo?</w:t>
      </w:r>
    </w:p>
    <w:p w14:paraId="7DCE8A60" w14:textId="77777777" w:rsidR="00C0489A" w:rsidRPr="00C0489A" w:rsidRDefault="00C0489A" w:rsidP="00C0489A">
      <w:pPr>
        <w:pStyle w:val="ListNumber"/>
        <w:numPr>
          <w:ilvl w:val="0"/>
          <w:numId w:val="10"/>
        </w:numPr>
        <w:rPr>
          <w:rFonts w:ascii="Times New Roman" w:hAnsi="Times New Roman" w:cs="Times New Roman"/>
        </w:rPr>
      </w:pPr>
      <w:r w:rsidRPr="00C0489A">
        <w:rPr>
          <w:rFonts w:ascii="Times New Roman" w:hAnsi="Times New Roman" w:cs="Times New Roman"/>
        </w:rPr>
        <w:t>Was the drug detected in the blood or other fluids in toxic concentrations?</w:t>
      </w:r>
    </w:p>
    <w:p w14:paraId="779F9350" w14:textId="77777777" w:rsidR="00C0489A" w:rsidRPr="00C0489A" w:rsidRDefault="00C0489A" w:rsidP="00C0489A">
      <w:pPr>
        <w:pStyle w:val="ListNumber"/>
        <w:numPr>
          <w:ilvl w:val="0"/>
          <w:numId w:val="10"/>
        </w:numPr>
        <w:rPr>
          <w:rFonts w:ascii="Times New Roman" w:hAnsi="Times New Roman" w:cs="Times New Roman"/>
        </w:rPr>
      </w:pPr>
      <w:r w:rsidRPr="00C0489A">
        <w:rPr>
          <w:rFonts w:ascii="Times New Roman" w:hAnsi="Times New Roman" w:cs="Times New Roman"/>
        </w:rPr>
        <w:t>Was the reaction worsened upon increasing the dose? Or, was the reaction lessened upon decreasing the dose?</w:t>
      </w:r>
    </w:p>
    <w:p w14:paraId="3FE34971" w14:textId="77777777" w:rsidR="00C0489A" w:rsidRPr="00C0489A" w:rsidRDefault="00C0489A" w:rsidP="00C0489A">
      <w:pPr>
        <w:pStyle w:val="ListNumber"/>
        <w:numPr>
          <w:ilvl w:val="0"/>
          <w:numId w:val="10"/>
        </w:numPr>
        <w:rPr>
          <w:rFonts w:ascii="Times New Roman" w:hAnsi="Times New Roman" w:cs="Times New Roman"/>
        </w:rPr>
      </w:pPr>
      <w:r w:rsidRPr="00C0489A">
        <w:rPr>
          <w:rFonts w:ascii="Times New Roman" w:hAnsi="Times New Roman" w:cs="Times New Roman"/>
        </w:rPr>
        <w:t>Did the patient have a similar reaction to the drug or a related agent in the past?</w:t>
      </w:r>
    </w:p>
    <w:p w14:paraId="0D8544C1" w14:textId="77777777" w:rsidR="00C0489A" w:rsidRDefault="00C0489A" w:rsidP="00C0489A">
      <w:pPr>
        <w:pStyle w:val="ListNumber"/>
        <w:numPr>
          <w:ilvl w:val="0"/>
          <w:numId w:val="10"/>
        </w:numPr>
        <w:rPr>
          <w:rFonts w:ascii="Times New Roman" w:hAnsi="Times New Roman" w:cs="Times New Roman"/>
        </w:rPr>
      </w:pPr>
      <w:r w:rsidRPr="00C0489A">
        <w:rPr>
          <w:rFonts w:ascii="Times New Roman" w:hAnsi="Times New Roman" w:cs="Times New Roman"/>
        </w:rPr>
        <w:t>Was the adverse event confirmed by any other objective evidence?</w:t>
      </w:r>
    </w:p>
    <w:p w14:paraId="1C5C0D06" w14:textId="41ADD545" w:rsidR="00394611" w:rsidRPr="00C0489A" w:rsidRDefault="00394611" w:rsidP="00394611">
      <w:pPr>
        <w:pStyle w:val="ListNumber"/>
      </w:pPr>
      <w:r>
        <w:t>Case closure and regulatory submission.</w:t>
      </w:r>
    </w:p>
    <w:p w14:paraId="54F3094B" w14:textId="77777777" w:rsidR="00C0489A" w:rsidRDefault="00C0489A" w:rsidP="00C0489A">
      <w:pPr>
        <w:pStyle w:val="ListNumber"/>
        <w:numPr>
          <w:ilvl w:val="0"/>
          <w:numId w:val="0"/>
        </w:numPr>
        <w:ind w:left="360"/>
        <w:rPr>
          <w:rFonts w:ascii="Times New Roman" w:hAnsi="Times New Roman" w:cs="Times New Roman"/>
        </w:rPr>
      </w:pPr>
    </w:p>
    <w:p w14:paraId="4C8A99C0" w14:textId="77777777" w:rsidR="00C0489A" w:rsidRPr="00592562" w:rsidRDefault="00C0489A" w:rsidP="00C0489A">
      <w:pPr>
        <w:pStyle w:val="ListNumber"/>
        <w:numPr>
          <w:ilvl w:val="0"/>
          <w:numId w:val="0"/>
        </w:numPr>
        <w:ind w:left="360"/>
        <w:rPr>
          <w:rFonts w:ascii="Times New Roman" w:hAnsi="Times New Roman" w:cs="Times New Roman"/>
        </w:rPr>
      </w:pPr>
    </w:p>
    <w:p w14:paraId="21BF10B4" w14:textId="7E50D5EA" w:rsidR="007B2047" w:rsidRPr="00592562" w:rsidRDefault="00000000">
      <w:pPr>
        <w:pStyle w:val="Heading2"/>
        <w:rPr>
          <w:rFonts w:ascii="Times New Roman" w:hAnsi="Times New Roman" w:cs="Times New Roman"/>
        </w:rPr>
      </w:pPr>
      <w:r w:rsidRPr="00592562">
        <w:rPr>
          <w:rFonts w:ascii="Times New Roman" w:hAnsi="Times New Roman" w:cs="Times New Roman"/>
        </w:rPr>
        <w:t>5. Case Narrative</w:t>
      </w:r>
    </w:p>
    <w:p w14:paraId="39F092AC" w14:textId="0AB9F45B" w:rsidR="007B2047" w:rsidRDefault="006D6179" w:rsidP="007B46CC">
      <w:pPr>
        <w:jc w:val="both"/>
        <w:rPr>
          <w:rFonts w:ascii="Times New Roman" w:hAnsi="Times New Roman" w:cs="Times New Roman"/>
        </w:rPr>
      </w:pPr>
      <w:r>
        <w:rPr>
          <w:rFonts w:ascii="Times New Roman" w:hAnsi="Times New Roman" w:cs="Times New Roman"/>
        </w:rPr>
        <w:t>DEMO-01</w:t>
      </w:r>
      <w:r w:rsidRPr="00592562">
        <w:rPr>
          <w:rFonts w:ascii="Times New Roman" w:hAnsi="Times New Roman" w:cs="Times New Roman"/>
        </w:rPr>
        <w:t xml:space="preserve"> — A 5</w:t>
      </w:r>
      <w:r>
        <w:rPr>
          <w:rFonts w:ascii="Times New Roman" w:hAnsi="Times New Roman" w:cs="Times New Roman"/>
        </w:rPr>
        <w:t>1</w:t>
      </w:r>
      <w:r w:rsidRPr="00592562">
        <w:rPr>
          <w:rFonts w:ascii="Times New Roman" w:hAnsi="Times New Roman" w:cs="Times New Roman"/>
        </w:rPr>
        <w:t>-year-old male</w:t>
      </w:r>
      <w:r>
        <w:rPr>
          <w:rFonts w:ascii="Times New Roman" w:hAnsi="Times New Roman" w:cs="Times New Roman"/>
        </w:rPr>
        <w:t xml:space="preserve"> patient</w:t>
      </w:r>
      <w:r w:rsidRPr="00592562">
        <w:rPr>
          <w:rFonts w:ascii="Times New Roman" w:hAnsi="Times New Roman" w:cs="Times New Roman"/>
        </w:rPr>
        <w:t xml:space="preserve"> experienced </w:t>
      </w:r>
      <w:r>
        <w:rPr>
          <w:rFonts w:ascii="Times New Roman" w:hAnsi="Times New Roman" w:cs="Times New Roman"/>
        </w:rPr>
        <w:t>muscle spasms</w:t>
      </w:r>
      <w:r w:rsidRPr="00592562">
        <w:rPr>
          <w:rFonts w:ascii="Times New Roman" w:hAnsi="Times New Roman" w:cs="Times New Roman"/>
        </w:rPr>
        <w:t xml:space="preserve"> following </w:t>
      </w:r>
      <w:r>
        <w:rPr>
          <w:rFonts w:ascii="Times New Roman" w:hAnsi="Times New Roman" w:cs="Times New Roman"/>
        </w:rPr>
        <w:t>the use of simvastatin for dyslipidemia</w:t>
      </w:r>
      <w:r w:rsidRPr="00592562">
        <w:rPr>
          <w:rFonts w:ascii="Times New Roman" w:hAnsi="Times New Roman" w:cs="Times New Roman"/>
        </w:rPr>
        <w:t xml:space="preserve">. The reaction occurred </w:t>
      </w:r>
      <w:r>
        <w:rPr>
          <w:rFonts w:ascii="Times New Roman" w:hAnsi="Times New Roman" w:cs="Times New Roman"/>
        </w:rPr>
        <w:t>after</w:t>
      </w:r>
      <w:r w:rsidRPr="00592562">
        <w:rPr>
          <w:rFonts w:ascii="Times New Roman" w:hAnsi="Times New Roman" w:cs="Times New Roman"/>
        </w:rPr>
        <w:t xml:space="preserve"> </w:t>
      </w:r>
      <w:r>
        <w:rPr>
          <w:rFonts w:ascii="Times New Roman" w:hAnsi="Times New Roman" w:cs="Times New Roman"/>
        </w:rPr>
        <w:t>2</w:t>
      </w:r>
      <w:r w:rsidRPr="00592562">
        <w:rPr>
          <w:rFonts w:ascii="Times New Roman" w:hAnsi="Times New Roman" w:cs="Times New Roman"/>
        </w:rPr>
        <w:t xml:space="preserve"> </w:t>
      </w:r>
      <w:r>
        <w:rPr>
          <w:rFonts w:ascii="Times New Roman" w:hAnsi="Times New Roman" w:cs="Times New Roman"/>
        </w:rPr>
        <w:t>hours</w:t>
      </w:r>
      <w:r w:rsidRPr="00592562">
        <w:rPr>
          <w:rFonts w:ascii="Times New Roman" w:hAnsi="Times New Roman" w:cs="Times New Roman"/>
        </w:rPr>
        <w:t xml:space="preserve"> of </w:t>
      </w:r>
      <w:r>
        <w:rPr>
          <w:rFonts w:ascii="Times New Roman" w:hAnsi="Times New Roman" w:cs="Times New Roman"/>
        </w:rPr>
        <w:t xml:space="preserve">starting of </w:t>
      </w:r>
      <w:r w:rsidRPr="00592562">
        <w:rPr>
          <w:rFonts w:ascii="Times New Roman" w:hAnsi="Times New Roman" w:cs="Times New Roman"/>
        </w:rPr>
        <w:t>dos</w:t>
      </w:r>
      <w:r>
        <w:rPr>
          <w:rFonts w:ascii="Times New Roman" w:hAnsi="Times New Roman" w:cs="Times New Roman"/>
        </w:rPr>
        <w:t>e with gradual increase over the span of drug use for 7 days</w:t>
      </w:r>
      <w:r w:rsidRPr="00592562">
        <w:rPr>
          <w:rFonts w:ascii="Times New Roman" w:hAnsi="Times New Roman" w:cs="Times New Roman"/>
        </w:rPr>
        <w:t xml:space="preserve">. The case was validated as </w:t>
      </w:r>
      <w:r>
        <w:rPr>
          <w:rFonts w:ascii="Times New Roman" w:hAnsi="Times New Roman" w:cs="Times New Roman"/>
        </w:rPr>
        <w:t>non-</w:t>
      </w:r>
      <w:r w:rsidRPr="00592562">
        <w:rPr>
          <w:rFonts w:ascii="Times New Roman" w:hAnsi="Times New Roman" w:cs="Times New Roman"/>
        </w:rPr>
        <w:t xml:space="preserve">serious and medically confirmed. The patient recovered after </w:t>
      </w:r>
      <w:r>
        <w:rPr>
          <w:rFonts w:ascii="Times New Roman" w:hAnsi="Times New Roman" w:cs="Times New Roman"/>
        </w:rPr>
        <w:t>replacement of therapy with fluvastatin</w:t>
      </w:r>
      <w:r w:rsidRPr="00592562">
        <w:rPr>
          <w:rFonts w:ascii="Times New Roman" w:hAnsi="Times New Roman" w:cs="Times New Roman"/>
        </w:rPr>
        <w:t>. Based on temporal relationship and dechallenge, the causality was assessed as 'probable'.</w:t>
      </w:r>
    </w:p>
    <w:p w14:paraId="18E28FFB" w14:textId="4CAC8ADD" w:rsidR="00E23BA3" w:rsidRDefault="006D6179" w:rsidP="00865EB0">
      <w:pPr>
        <w:rPr>
          <w:rFonts w:ascii="Times New Roman" w:hAnsi="Times New Roman" w:cs="Times New Roman"/>
        </w:rPr>
      </w:pPr>
      <w:r>
        <w:rPr>
          <w:rFonts w:ascii="Times New Roman" w:hAnsi="Times New Roman" w:cs="Times New Roman"/>
        </w:rPr>
        <w:t xml:space="preserve">DEMO-02 </w:t>
      </w:r>
      <w:r w:rsidR="00865EB0">
        <w:rPr>
          <w:rFonts w:ascii="Times New Roman" w:hAnsi="Times New Roman" w:cs="Times New Roman"/>
        </w:rPr>
        <w:t>–</w:t>
      </w:r>
      <w:r>
        <w:rPr>
          <w:rFonts w:ascii="Times New Roman" w:hAnsi="Times New Roman" w:cs="Times New Roman"/>
        </w:rPr>
        <w:t xml:space="preserve"> A</w:t>
      </w:r>
      <w:r w:rsidR="00865EB0">
        <w:rPr>
          <w:rFonts w:ascii="Times New Roman" w:hAnsi="Times New Roman" w:cs="Times New Roman"/>
        </w:rPr>
        <w:t xml:space="preserve"> 38-year-old female developed tendonitis after starting the use of ciprofloxacin for acute pyelonephritis. The reaction occurred after administration of drug for continuous period of 48 hours as directed by the physician, it is also reported that patient was also taking levothyroxine and liothyronine (30 mg) tablets for Hypothyroidism. The patient is started with ibuprofen therapy for recovery and </w:t>
      </w:r>
      <w:r w:rsidR="00E23BA3">
        <w:rPr>
          <w:rFonts w:ascii="Times New Roman" w:hAnsi="Times New Roman" w:cs="Times New Roman"/>
        </w:rPr>
        <w:t>has not recovered yet.</w:t>
      </w:r>
      <w:r w:rsidR="000A0361">
        <w:rPr>
          <w:rFonts w:ascii="Times New Roman" w:hAnsi="Times New Roman" w:cs="Times New Roman"/>
        </w:rPr>
        <w:t xml:space="preserve"> The case was validated as non-serious and medically confirmed.</w:t>
      </w:r>
      <w:r w:rsidR="00E23BA3">
        <w:rPr>
          <w:rFonts w:ascii="Times New Roman" w:hAnsi="Times New Roman" w:cs="Times New Roman"/>
        </w:rPr>
        <w:t xml:space="preserve"> Based on temporal relationship and dechallenge, the causality was assessed as ‘possible’.</w:t>
      </w:r>
    </w:p>
    <w:p w14:paraId="69C41609" w14:textId="49946653" w:rsidR="004C3D72" w:rsidRDefault="00E23BA3" w:rsidP="00865EB0">
      <w:pPr>
        <w:rPr>
          <w:rFonts w:ascii="Times New Roman" w:hAnsi="Times New Roman" w:cs="Times New Roman"/>
        </w:rPr>
      </w:pPr>
      <w:r>
        <w:rPr>
          <w:rFonts w:ascii="Times New Roman" w:hAnsi="Times New Roman" w:cs="Times New Roman"/>
        </w:rPr>
        <w:t>DEMO-03 – A 22-year-old male patient was admitted in the hospital on February 06, 2024 after suffering from a sudden anaphylactic shock, occurring less than 7 hours</w:t>
      </w:r>
      <w:r w:rsidR="00E5077D">
        <w:rPr>
          <w:rFonts w:ascii="Times New Roman" w:hAnsi="Times New Roman" w:cs="Times New Roman"/>
        </w:rPr>
        <w:t xml:space="preserve"> with Blood pressure lowering up to 90/60</w:t>
      </w:r>
      <w:r w:rsidR="006D7FD6">
        <w:rPr>
          <w:rFonts w:ascii="Times New Roman" w:hAnsi="Times New Roman" w:cs="Times New Roman"/>
        </w:rPr>
        <w:t xml:space="preserve"> mm Hg</w:t>
      </w:r>
      <w:r w:rsidR="00E5077D">
        <w:rPr>
          <w:rFonts w:ascii="Times New Roman" w:hAnsi="Times New Roman" w:cs="Times New Roman"/>
        </w:rPr>
        <w:t xml:space="preserve"> and body temperature exceeding 104℉</w:t>
      </w:r>
      <w:r>
        <w:rPr>
          <w:rFonts w:ascii="Times New Roman" w:hAnsi="Times New Roman" w:cs="Times New Roman"/>
        </w:rPr>
        <w:t xml:space="preserve"> after the administration of two formulations - Montelukast sodium and Paracetamol, Phenylephrine and Chlorpheniramine indicated for Sinusitis. The patient was started with </w:t>
      </w:r>
      <w:r w:rsidR="00E5077D">
        <w:rPr>
          <w:rFonts w:ascii="Times New Roman" w:hAnsi="Times New Roman" w:cs="Times New Roman"/>
        </w:rPr>
        <w:t>amoxicillin I.V, Saline and Paracetamol I.V therapy and was diagnosed with an unclear respiratory condition likely congenital lobe emphysema during the process, with patient having no history of smoking.</w:t>
      </w:r>
      <w:r w:rsidR="000A0361">
        <w:rPr>
          <w:rFonts w:ascii="Times New Roman" w:hAnsi="Times New Roman" w:cs="Times New Roman"/>
        </w:rPr>
        <w:t xml:space="preserve"> The case was validated as serious and medically confirmed.</w:t>
      </w:r>
      <w:r w:rsidR="00E5077D">
        <w:rPr>
          <w:rFonts w:ascii="Times New Roman" w:hAnsi="Times New Roman" w:cs="Times New Roman"/>
        </w:rPr>
        <w:t xml:space="preserve"> Patient recovered to normal blood pressure </w:t>
      </w:r>
      <w:r w:rsidR="00E5077D">
        <w:rPr>
          <w:rFonts w:ascii="Times New Roman" w:hAnsi="Times New Roman" w:cs="Times New Roman"/>
        </w:rPr>
        <w:lastRenderedPageBreak/>
        <w:t>condition and body temperature after 72 hours of starting treatment and was discharged after 108 hours after hospitalization date i.e</w:t>
      </w:r>
      <w:r w:rsidR="004C3D72">
        <w:rPr>
          <w:rFonts w:ascii="Times New Roman" w:hAnsi="Times New Roman" w:cs="Times New Roman"/>
        </w:rPr>
        <w:t>.</w:t>
      </w:r>
      <w:r w:rsidR="00E5077D">
        <w:rPr>
          <w:rFonts w:ascii="Times New Roman" w:hAnsi="Times New Roman" w:cs="Times New Roman"/>
        </w:rPr>
        <w:t xml:space="preserve"> on </w:t>
      </w:r>
      <w:r w:rsidR="004C3D72">
        <w:rPr>
          <w:rFonts w:ascii="Times New Roman" w:hAnsi="Times New Roman" w:cs="Times New Roman"/>
        </w:rPr>
        <w:t>February 11, 2024.</w:t>
      </w:r>
      <w:r w:rsidR="000A0361">
        <w:rPr>
          <w:rFonts w:ascii="Times New Roman" w:hAnsi="Times New Roman" w:cs="Times New Roman"/>
        </w:rPr>
        <w:t xml:space="preserve"> Based on temporal relationship and dechallenge information, the causal relationship was found to be ‘definite’.</w:t>
      </w:r>
    </w:p>
    <w:p w14:paraId="0F674956" w14:textId="09A4E335" w:rsidR="006D6179" w:rsidRDefault="004C3D72" w:rsidP="00865EB0">
      <w:pPr>
        <w:rPr>
          <w:rFonts w:ascii="Times New Roman" w:hAnsi="Times New Roman" w:cs="Times New Roman"/>
        </w:rPr>
      </w:pPr>
      <w:r>
        <w:rPr>
          <w:rFonts w:ascii="Times New Roman" w:hAnsi="Times New Roman" w:cs="Times New Roman"/>
        </w:rPr>
        <w:t>DEMO-04 – A 17-year-old female patient experienced diarrhea</w:t>
      </w:r>
      <w:r w:rsidR="00F270C3">
        <w:rPr>
          <w:rFonts w:ascii="Times New Roman" w:hAnsi="Times New Roman" w:cs="Times New Roman"/>
        </w:rPr>
        <w:t xml:space="preserve"> with 3 episodes of loose stools and 1 episode of vomiting</w:t>
      </w:r>
      <w:r>
        <w:rPr>
          <w:rFonts w:ascii="Times New Roman" w:hAnsi="Times New Roman" w:cs="Times New Roman"/>
        </w:rPr>
        <w:t xml:space="preserve"> after administration of 650 mg paracetamol for fever, body temperature - 101℉</w:t>
      </w:r>
      <w:r w:rsidR="00F270C3">
        <w:rPr>
          <w:rFonts w:ascii="Times New Roman" w:hAnsi="Times New Roman" w:cs="Times New Roman"/>
        </w:rPr>
        <w:t>. The patient recovered after treatment with Bismuth subsal</w:t>
      </w:r>
      <w:r w:rsidR="000A0361">
        <w:rPr>
          <w:rFonts w:ascii="Times New Roman" w:hAnsi="Times New Roman" w:cs="Times New Roman"/>
        </w:rPr>
        <w:t>i</w:t>
      </w:r>
      <w:r w:rsidR="00F270C3">
        <w:rPr>
          <w:rFonts w:ascii="Times New Roman" w:hAnsi="Times New Roman" w:cs="Times New Roman"/>
        </w:rPr>
        <w:t>c</w:t>
      </w:r>
      <w:r w:rsidR="000A0361">
        <w:rPr>
          <w:rFonts w:ascii="Times New Roman" w:hAnsi="Times New Roman" w:cs="Times New Roman"/>
        </w:rPr>
        <w:t>y</w:t>
      </w:r>
      <w:r w:rsidR="00F270C3">
        <w:rPr>
          <w:rFonts w:ascii="Times New Roman" w:hAnsi="Times New Roman" w:cs="Times New Roman"/>
        </w:rPr>
        <w:t>late.</w:t>
      </w:r>
      <w:r w:rsidR="000A0361">
        <w:rPr>
          <w:rFonts w:ascii="Times New Roman" w:hAnsi="Times New Roman" w:cs="Times New Roman"/>
        </w:rPr>
        <w:t xml:space="preserve"> The case was validated as non-serious and medically confirmed. Based on dechallenge information and temporal relationship (unclear) the case was regarded as ‘possible’.</w:t>
      </w:r>
    </w:p>
    <w:p w14:paraId="6F2149E6" w14:textId="28A6BB2A" w:rsidR="00B64903" w:rsidRDefault="000A0361" w:rsidP="00865EB0">
      <w:pPr>
        <w:rPr>
          <w:rFonts w:ascii="Times New Roman" w:hAnsi="Times New Roman" w:cs="Times New Roman"/>
        </w:rPr>
      </w:pPr>
      <w:r>
        <w:rPr>
          <w:rFonts w:ascii="Times New Roman" w:hAnsi="Times New Roman" w:cs="Times New Roman"/>
        </w:rPr>
        <w:t xml:space="preserve">DEMO-05 </w:t>
      </w:r>
      <w:r w:rsidR="006D7FD6">
        <w:rPr>
          <w:rFonts w:ascii="Times New Roman" w:hAnsi="Times New Roman" w:cs="Times New Roman"/>
        </w:rPr>
        <w:t>–</w:t>
      </w:r>
      <w:r>
        <w:rPr>
          <w:rFonts w:ascii="Times New Roman" w:hAnsi="Times New Roman" w:cs="Times New Roman"/>
        </w:rPr>
        <w:t xml:space="preserve"> </w:t>
      </w:r>
      <w:r w:rsidR="006D7FD6">
        <w:rPr>
          <w:rFonts w:ascii="Times New Roman" w:hAnsi="Times New Roman" w:cs="Times New Roman"/>
        </w:rPr>
        <w:t>A 65-year-old female patient suffered from severe hypotension, bp falling up t0 70/50 mm Hg, after starting atenolol-amlodipine combination for hypertension. The patient, with history of suffering with myocardial infraction, was rushed to hospital on Aug 30, 2024.</w:t>
      </w:r>
      <w:r w:rsidR="00840E20">
        <w:rPr>
          <w:rFonts w:ascii="Times New Roman" w:hAnsi="Times New Roman" w:cs="Times New Roman"/>
        </w:rPr>
        <w:t xml:space="preserve"> The case was validated as Serious and medically confirmed.</w:t>
      </w:r>
      <w:r w:rsidR="006D7FD6">
        <w:rPr>
          <w:rFonts w:ascii="Times New Roman" w:hAnsi="Times New Roman" w:cs="Times New Roman"/>
        </w:rPr>
        <w:t xml:space="preserve"> The patient was started with saline treatment and the use of any other medications were uncleared. Patient recovered after 48 hours of hospitalization and was discharged after 72 hours. Based on dechallenge information and temporal relationship</w:t>
      </w:r>
      <w:r w:rsidR="00840E20">
        <w:rPr>
          <w:rFonts w:ascii="Times New Roman" w:hAnsi="Times New Roman" w:cs="Times New Roman"/>
        </w:rPr>
        <w:t>,</w:t>
      </w:r>
      <w:r w:rsidR="006D7FD6">
        <w:rPr>
          <w:rFonts w:ascii="Times New Roman" w:hAnsi="Times New Roman" w:cs="Times New Roman"/>
        </w:rPr>
        <w:t xml:space="preserve"> </w:t>
      </w:r>
      <w:r w:rsidR="00D24D93">
        <w:rPr>
          <w:rFonts w:ascii="Times New Roman" w:hAnsi="Times New Roman" w:cs="Times New Roman"/>
        </w:rPr>
        <w:t>the case was regarded as ‘probable’.</w:t>
      </w:r>
    </w:p>
    <w:p w14:paraId="4EE3D30A" w14:textId="6DA028B8" w:rsidR="00B64903" w:rsidRDefault="00B64903" w:rsidP="00865EB0">
      <w:pPr>
        <w:rPr>
          <w:rFonts w:ascii="Times New Roman" w:hAnsi="Times New Roman" w:cs="Times New Roman"/>
        </w:rPr>
      </w:pPr>
      <w:r>
        <w:rPr>
          <w:rFonts w:ascii="Times New Roman" w:hAnsi="Times New Roman" w:cs="Times New Roman"/>
        </w:rPr>
        <w:t>DEMO-06 – A 33-year-old male patient gradually developed tremors after taking salmeterol inhaler therapy for Bronchial asthma. Patient reported shivering all over the body after taking the dose.</w:t>
      </w:r>
      <w:r w:rsidR="00840E20">
        <w:rPr>
          <w:rFonts w:ascii="Times New Roman" w:hAnsi="Times New Roman" w:cs="Times New Roman"/>
        </w:rPr>
        <w:t xml:space="preserve"> The case was validated as non-serious.</w:t>
      </w:r>
      <w:r>
        <w:rPr>
          <w:rFonts w:ascii="Times New Roman" w:hAnsi="Times New Roman" w:cs="Times New Roman"/>
        </w:rPr>
        <w:t xml:space="preserve"> The patient was given with primidone for tremors and salmeterol was replaced with salbutamol therapy following this, the patient recovered. Based on dechallenge information and </w:t>
      </w:r>
      <w:r w:rsidR="00840E20">
        <w:rPr>
          <w:rFonts w:ascii="Times New Roman" w:hAnsi="Times New Roman" w:cs="Times New Roman"/>
        </w:rPr>
        <w:t>temporal relationship, the causality was regarded as ‘probable’.</w:t>
      </w:r>
    </w:p>
    <w:p w14:paraId="7BE28E0F" w14:textId="64A65B4F" w:rsidR="00840E20" w:rsidRDefault="00840E20" w:rsidP="00865EB0">
      <w:pPr>
        <w:rPr>
          <w:rFonts w:ascii="Times New Roman" w:hAnsi="Times New Roman" w:cs="Times New Roman"/>
        </w:rPr>
      </w:pPr>
      <w:r>
        <w:rPr>
          <w:rFonts w:ascii="Times New Roman" w:hAnsi="Times New Roman" w:cs="Times New Roman"/>
        </w:rPr>
        <w:t>DEMO-07 – A 29-year-old female patient experienced indigestion following the administration of Aceclofenac as reported by physician. The case was validated as non-serious and medically confirmed.</w:t>
      </w:r>
      <w:r w:rsidR="001551E3">
        <w:rPr>
          <w:rFonts w:ascii="Times New Roman" w:hAnsi="Times New Roman" w:cs="Times New Roman"/>
        </w:rPr>
        <w:t xml:space="preserve"> Patient reportedly used omeprazole tablets for the same and recovered, physician advised to discontinue the use of aceclofenac. Based on dechallenge information and temporal relationship, the causality was regarded as ‘possible’.</w:t>
      </w:r>
    </w:p>
    <w:p w14:paraId="44D8CEB5" w14:textId="77777777" w:rsidR="003E51CD" w:rsidRDefault="001551E3" w:rsidP="00865EB0">
      <w:pPr>
        <w:rPr>
          <w:rFonts w:ascii="Times New Roman" w:hAnsi="Times New Roman" w:cs="Times New Roman"/>
        </w:rPr>
      </w:pPr>
      <w:r>
        <w:rPr>
          <w:rFonts w:ascii="Times New Roman" w:hAnsi="Times New Roman" w:cs="Times New Roman"/>
        </w:rPr>
        <w:t>DEMO-08 – A 44-year-old female patient observed swelling(edema) at injection-site</w:t>
      </w:r>
      <w:r w:rsidR="003E51CD">
        <w:rPr>
          <w:rFonts w:ascii="Times New Roman" w:hAnsi="Times New Roman" w:cs="Times New Roman"/>
        </w:rPr>
        <w:t xml:space="preserve"> (left arm)</w:t>
      </w:r>
      <w:r>
        <w:rPr>
          <w:rFonts w:ascii="Times New Roman" w:hAnsi="Times New Roman" w:cs="Times New Roman"/>
        </w:rPr>
        <w:t xml:space="preserve"> after administration</w:t>
      </w:r>
      <w:r w:rsidR="003E51CD">
        <w:rPr>
          <w:rFonts w:ascii="Times New Roman" w:hAnsi="Times New Roman" w:cs="Times New Roman"/>
        </w:rPr>
        <w:t xml:space="preserve"> of ceftriaxone intramuscular injection for typhoid fever as reported by physician. The case was validated as non-serious and medically confirmed. The recovery happened after 6-8 hours post administration. Based on the dechallenge information and temporal relationship, the causality was determined to be ‘definite’.</w:t>
      </w:r>
    </w:p>
    <w:p w14:paraId="5F050941" w14:textId="04393EA5" w:rsidR="001551E3" w:rsidRDefault="003E51CD" w:rsidP="00865EB0">
      <w:pPr>
        <w:rPr>
          <w:rFonts w:ascii="Times New Roman" w:hAnsi="Times New Roman" w:cs="Times New Roman"/>
        </w:rPr>
      </w:pPr>
      <w:r>
        <w:rPr>
          <w:rFonts w:ascii="Times New Roman" w:hAnsi="Times New Roman" w:cs="Times New Roman"/>
        </w:rPr>
        <w:t>DEMO-09 – A 12-year-old male child experienced skin rash after using amoxicillin-clavulanic acid combination for throat infection, as reported by physician. The case was medically confirmed and regarded as non-serious. Patient used Benzalkonium-Zinc oxide cream for skin rash and recovered within 1 week. Based o</w:t>
      </w:r>
      <w:r w:rsidR="00C0489A">
        <w:rPr>
          <w:rFonts w:ascii="Times New Roman" w:hAnsi="Times New Roman" w:cs="Times New Roman"/>
        </w:rPr>
        <w:t>n</w:t>
      </w:r>
      <w:r>
        <w:rPr>
          <w:rFonts w:ascii="Times New Roman" w:hAnsi="Times New Roman" w:cs="Times New Roman"/>
        </w:rPr>
        <w:t xml:space="preserve"> dechallenge information and temporal relationship, the causality</w:t>
      </w:r>
      <w:r w:rsidR="00B81EBA">
        <w:rPr>
          <w:rFonts w:ascii="Times New Roman" w:hAnsi="Times New Roman" w:cs="Times New Roman"/>
        </w:rPr>
        <w:t xml:space="preserve"> was regarded as ‘Probable’.</w:t>
      </w:r>
    </w:p>
    <w:p w14:paraId="38CD96D7" w14:textId="1EE2402A" w:rsidR="00B81EBA" w:rsidRDefault="00B81EBA" w:rsidP="00B81EBA">
      <w:pPr>
        <w:tabs>
          <w:tab w:val="left" w:pos="2736"/>
        </w:tabs>
        <w:rPr>
          <w:rFonts w:ascii="Times New Roman" w:hAnsi="Times New Roman" w:cs="Times New Roman"/>
        </w:rPr>
      </w:pPr>
      <w:r>
        <w:rPr>
          <w:rFonts w:ascii="Times New Roman" w:hAnsi="Times New Roman" w:cs="Times New Roman"/>
        </w:rPr>
        <w:t>DEMO-10 – A 76-year-old male patient suffered with sudden hypoglycemia with blood glucose levels reaching 65 mg/dL after 2 hours of administration of metformin-glimepiride combination, patient was rushed into the nearby hospital at 9:00 PM on Sep</w:t>
      </w:r>
      <w:r w:rsidR="00C0489A">
        <w:rPr>
          <w:rFonts w:ascii="Times New Roman" w:hAnsi="Times New Roman" w:cs="Times New Roman"/>
        </w:rPr>
        <w:t>tember</w:t>
      </w:r>
      <w:r>
        <w:rPr>
          <w:rFonts w:ascii="Times New Roman" w:hAnsi="Times New Roman" w:cs="Times New Roman"/>
        </w:rPr>
        <w:t xml:space="preserve"> 26, 2024 and the patient was admitted and started with glucagon injection (as the patient fell unconscious during </w:t>
      </w:r>
      <w:r>
        <w:rPr>
          <w:rFonts w:ascii="Times New Roman" w:hAnsi="Times New Roman" w:cs="Times New Roman"/>
        </w:rPr>
        <w:lastRenderedPageBreak/>
        <w:t>transportation) as reported by physician. The case was medically confirmed and regarded as serious.</w:t>
      </w:r>
      <w:r w:rsidR="00C0489A">
        <w:rPr>
          <w:rFonts w:ascii="Times New Roman" w:hAnsi="Times New Roman" w:cs="Times New Roman"/>
        </w:rPr>
        <w:t xml:space="preserve"> The patient recovered to normal on the following day and was discharged on September 28, 2024. Based on dechallenge information and temporal relationship, the causality was determined as ‘definite’</w:t>
      </w:r>
    </w:p>
    <w:p w14:paraId="44BDE0D6" w14:textId="77777777" w:rsidR="00B64903" w:rsidRPr="00592562" w:rsidRDefault="00B64903" w:rsidP="00865EB0">
      <w:pPr>
        <w:rPr>
          <w:rFonts w:ascii="Times New Roman" w:hAnsi="Times New Roman" w:cs="Times New Roman"/>
        </w:rPr>
      </w:pPr>
    </w:p>
    <w:p w14:paraId="5D379CAF" w14:textId="77777777" w:rsidR="007B2047" w:rsidRPr="00592562" w:rsidRDefault="00000000">
      <w:pPr>
        <w:pStyle w:val="Heading2"/>
        <w:rPr>
          <w:rFonts w:ascii="Times New Roman" w:hAnsi="Times New Roman" w:cs="Times New Roman"/>
        </w:rPr>
      </w:pPr>
      <w:r w:rsidRPr="00592562">
        <w:rPr>
          <w:rFonts w:ascii="Times New Roman" w:hAnsi="Times New Roman" w:cs="Times New Roman"/>
        </w:rPr>
        <w:t>6. Summary and Conclusion</w:t>
      </w:r>
    </w:p>
    <w:p w14:paraId="3982DB5D" w14:textId="3BAF9F6A" w:rsidR="007B2047" w:rsidRDefault="00000000" w:rsidP="007B46CC">
      <w:pPr>
        <w:jc w:val="both"/>
        <w:rPr>
          <w:rFonts w:ascii="Times New Roman" w:hAnsi="Times New Roman" w:cs="Times New Roman"/>
        </w:rPr>
      </w:pPr>
      <w:r w:rsidRPr="00592562">
        <w:rPr>
          <w:rFonts w:ascii="Times New Roman" w:hAnsi="Times New Roman" w:cs="Times New Roman"/>
        </w:rPr>
        <w:t xml:space="preserve">This simulation project successfully demonstrates how Individual Case Safety Reports are processed in pharmacovigilance. The workflow covered case intake, validation, triage, and medical review. By simulating </w:t>
      </w:r>
      <w:r w:rsidR="000A0361">
        <w:rPr>
          <w:rFonts w:ascii="Times New Roman" w:hAnsi="Times New Roman" w:cs="Times New Roman"/>
        </w:rPr>
        <w:t>10</w:t>
      </w:r>
      <w:r w:rsidRPr="00592562">
        <w:rPr>
          <w:rFonts w:ascii="Times New Roman" w:hAnsi="Times New Roman" w:cs="Times New Roman"/>
        </w:rPr>
        <w:t xml:space="preserve"> cases using open-source data, the exercise provides practical exposure to core PV operations.</w:t>
      </w:r>
      <w:r w:rsidR="00840E20">
        <w:rPr>
          <w:rFonts w:ascii="Times New Roman" w:hAnsi="Times New Roman" w:cs="Times New Roman"/>
        </w:rPr>
        <w:t xml:space="preserve"> </w:t>
      </w:r>
    </w:p>
    <w:p w14:paraId="4055238B" w14:textId="5DF37DFE" w:rsidR="00C0489A" w:rsidRPr="00592562" w:rsidRDefault="00C0489A" w:rsidP="00C0489A">
      <w:pPr>
        <w:pStyle w:val="Heading2"/>
        <w:rPr>
          <w:rFonts w:ascii="Times New Roman" w:hAnsi="Times New Roman" w:cs="Times New Roman"/>
        </w:rPr>
      </w:pPr>
      <w:r>
        <w:rPr>
          <w:rFonts w:ascii="Times New Roman" w:hAnsi="Times New Roman" w:cs="Times New Roman"/>
        </w:rPr>
        <w:t>7</w:t>
      </w:r>
      <w:r w:rsidRPr="00592562">
        <w:rPr>
          <w:rFonts w:ascii="Times New Roman" w:hAnsi="Times New Roman" w:cs="Times New Roman"/>
        </w:rPr>
        <w:t xml:space="preserve">. </w:t>
      </w:r>
      <w:r>
        <w:rPr>
          <w:rFonts w:ascii="Times New Roman" w:hAnsi="Times New Roman" w:cs="Times New Roman"/>
        </w:rPr>
        <w:t>Sources</w:t>
      </w:r>
    </w:p>
    <w:p w14:paraId="1026ECBF" w14:textId="0E62BFFD" w:rsidR="00C0489A" w:rsidRDefault="00C0489A" w:rsidP="007B46CC">
      <w:pPr>
        <w:jc w:val="both"/>
        <w:rPr>
          <w:rFonts w:ascii="Times New Roman" w:hAnsi="Times New Roman" w:cs="Times New Roman"/>
        </w:rPr>
      </w:pPr>
      <w:r>
        <w:rPr>
          <w:rFonts w:ascii="Times New Roman" w:hAnsi="Times New Roman" w:cs="Times New Roman"/>
        </w:rPr>
        <w:t xml:space="preserve">1. </w:t>
      </w:r>
      <w:hyperlink r:id="rId6" w:history="1">
        <w:r w:rsidRPr="00A60189">
          <w:rPr>
            <w:rStyle w:val="Hyperlink"/>
            <w:rFonts w:ascii="Times New Roman" w:hAnsi="Times New Roman" w:cs="Times New Roman"/>
          </w:rPr>
          <w:t>https://www.vigiaccess.org/</w:t>
        </w:r>
      </w:hyperlink>
    </w:p>
    <w:p w14:paraId="3052A70B" w14:textId="0DF1B906" w:rsidR="00C0489A" w:rsidRDefault="00C0489A" w:rsidP="007B46CC">
      <w:pPr>
        <w:jc w:val="both"/>
        <w:rPr>
          <w:rFonts w:ascii="Times New Roman" w:hAnsi="Times New Roman" w:cs="Times New Roman"/>
        </w:rPr>
      </w:pPr>
      <w:r>
        <w:rPr>
          <w:rFonts w:ascii="Times New Roman" w:hAnsi="Times New Roman" w:cs="Times New Roman"/>
        </w:rPr>
        <w:t xml:space="preserve">2. </w:t>
      </w:r>
      <w:hyperlink r:id="rId7" w:history="1">
        <w:r w:rsidRPr="00A60189">
          <w:rPr>
            <w:rStyle w:val="Hyperlink"/>
            <w:rFonts w:ascii="Times New Roman" w:hAnsi="Times New Roman" w:cs="Times New Roman"/>
          </w:rPr>
          <w:t>https://open.fda.gov/data/downloads/</w:t>
        </w:r>
      </w:hyperlink>
    </w:p>
    <w:p w14:paraId="1ECD5E2D" w14:textId="01BB1738" w:rsidR="00C0489A" w:rsidRDefault="00C0489A" w:rsidP="007B46CC">
      <w:pPr>
        <w:jc w:val="both"/>
        <w:rPr>
          <w:rFonts w:ascii="Times New Roman" w:hAnsi="Times New Roman" w:cs="Times New Roman"/>
        </w:rPr>
      </w:pPr>
      <w:r>
        <w:rPr>
          <w:rFonts w:ascii="Times New Roman" w:hAnsi="Times New Roman" w:cs="Times New Roman"/>
        </w:rPr>
        <w:t xml:space="preserve">3. </w:t>
      </w:r>
      <w:hyperlink r:id="rId8" w:history="1">
        <w:r w:rsidR="00394611" w:rsidRPr="00A60189">
          <w:rPr>
            <w:rStyle w:val="Hyperlink"/>
            <w:rFonts w:ascii="Times New Roman" w:hAnsi="Times New Roman" w:cs="Times New Roman"/>
          </w:rPr>
          <w:t>https://www.adrreports.eu/en/search_subst.html#</w:t>
        </w:r>
      </w:hyperlink>
    </w:p>
    <w:p w14:paraId="5803C2EB" w14:textId="76D6B258" w:rsidR="00394611" w:rsidRDefault="00394611" w:rsidP="007B46CC">
      <w:pPr>
        <w:jc w:val="both"/>
        <w:rPr>
          <w:rFonts w:ascii="Times New Roman" w:hAnsi="Times New Roman" w:cs="Times New Roman"/>
        </w:rPr>
      </w:pPr>
      <w:r>
        <w:rPr>
          <w:rFonts w:ascii="Times New Roman" w:hAnsi="Times New Roman" w:cs="Times New Roman"/>
        </w:rPr>
        <w:t>4.</w:t>
      </w:r>
      <w:r w:rsidRPr="00394611">
        <w:t xml:space="preserve"> </w:t>
      </w:r>
      <w:hyperlink r:id="rId9" w:history="1">
        <w:r w:rsidRPr="00A60189">
          <w:rPr>
            <w:rStyle w:val="Hyperlink"/>
            <w:rFonts w:ascii="Times New Roman" w:hAnsi="Times New Roman" w:cs="Times New Roman"/>
          </w:rPr>
          <w:t>https://openvigil.sourceforge.net/</w:t>
        </w:r>
      </w:hyperlink>
    </w:p>
    <w:p w14:paraId="2D78A603" w14:textId="77777777" w:rsidR="00394611" w:rsidRPr="00592562" w:rsidRDefault="00394611" w:rsidP="007B46CC">
      <w:pPr>
        <w:jc w:val="both"/>
        <w:rPr>
          <w:rFonts w:ascii="Times New Roman" w:hAnsi="Times New Roman" w:cs="Times New Roman"/>
        </w:rPr>
      </w:pPr>
    </w:p>
    <w:sectPr w:rsidR="00394611" w:rsidRPr="005925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E5C317F"/>
    <w:multiLevelType w:val="multilevel"/>
    <w:tmpl w:val="20DE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160004">
    <w:abstractNumId w:val="8"/>
  </w:num>
  <w:num w:numId="2" w16cid:durableId="2046782887">
    <w:abstractNumId w:val="6"/>
  </w:num>
  <w:num w:numId="3" w16cid:durableId="62677461">
    <w:abstractNumId w:val="5"/>
  </w:num>
  <w:num w:numId="4" w16cid:durableId="191263856">
    <w:abstractNumId w:val="4"/>
  </w:num>
  <w:num w:numId="5" w16cid:durableId="601105284">
    <w:abstractNumId w:val="7"/>
  </w:num>
  <w:num w:numId="6" w16cid:durableId="1304038503">
    <w:abstractNumId w:val="3"/>
  </w:num>
  <w:num w:numId="7" w16cid:durableId="2004625673">
    <w:abstractNumId w:val="2"/>
  </w:num>
  <w:num w:numId="8" w16cid:durableId="1713840196">
    <w:abstractNumId w:val="1"/>
  </w:num>
  <w:num w:numId="9" w16cid:durableId="1913461413">
    <w:abstractNumId w:val="0"/>
  </w:num>
  <w:num w:numId="10" w16cid:durableId="163829719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0361"/>
    <w:rsid w:val="000A3B0E"/>
    <w:rsid w:val="000C2B80"/>
    <w:rsid w:val="00106BC8"/>
    <w:rsid w:val="00145D70"/>
    <w:rsid w:val="0015074B"/>
    <w:rsid w:val="001551E3"/>
    <w:rsid w:val="00290B1F"/>
    <w:rsid w:val="0029639D"/>
    <w:rsid w:val="00326F90"/>
    <w:rsid w:val="00394611"/>
    <w:rsid w:val="003E51CD"/>
    <w:rsid w:val="003F322B"/>
    <w:rsid w:val="004C3D72"/>
    <w:rsid w:val="00592562"/>
    <w:rsid w:val="005A7F76"/>
    <w:rsid w:val="005D0531"/>
    <w:rsid w:val="006D6179"/>
    <w:rsid w:val="006D7FD6"/>
    <w:rsid w:val="0074796D"/>
    <w:rsid w:val="00784074"/>
    <w:rsid w:val="007B2047"/>
    <w:rsid w:val="007B46CC"/>
    <w:rsid w:val="00840E20"/>
    <w:rsid w:val="00865EB0"/>
    <w:rsid w:val="008A72B5"/>
    <w:rsid w:val="00AA1D8D"/>
    <w:rsid w:val="00B47730"/>
    <w:rsid w:val="00B64903"/>
    <w:rsid w:val="00B81EBA"/>
    <w:rsid w:val="00C0489A"/>
    <w:rsid w:val="00CB0664"/>
    <w:rsid w:val="00D24D93"/>
    <w:rsid w:val="00E23BA3"/>
    <w:rsid w:val="00E5077D"/>
    <w:rsid w:val="00F270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D4A474"/>
  <w14:defaultImageDpi w14:val="300"/>
  <w15:docId w15:val="{2D0857DC-F365-45D8-9E99-57CF5C6BD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C0489A"/>
    <w:rPr>
      <w:color w:val="0000FF" w:themeColor="hyperlink"/>
      <w:u w:val="single"/>
    </w:rPr>
  </w:style>
  <w:style w:type="character" w:styleId="UnresolvedMention">
    <w:name w:val="Unresolved Mention"/>
    <w:basedOn w:val="DefaultParagraphFont"/>
    <w:uiPriority w:val="99"/>
    <w:semiHidden/>
    <w:unhideWhenUsed/>
    <w:rsid w:val="00C048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9184">
      <w:bodyDiv w:val="1"/>
      <w:marLeft w:val="0"/>
      <w:marRight w:val="0"/>
      <w:marTop w:val="0"/>
      <w:marBottom w:val="0"/>
      <w:divBdr>
        <w:top w:val="none" w:sz="0" w:space="0" w:color="auto"/>
        <w:left w:val="none" w:sz="0" w:space="0" w:color="auto"/>
        <w:bottom w:val="none" w:sz="0" w:space="0" w:color="auto"/>
        <w:right w:val="none" w:sz="0" w:space="0" w:color="auto"/>
      </w:divBdr>
      <w:divsChild>
        <w:div w:id="1317799203">
          <w:marLeft w:val="0"/>
          <w:marRight w:val="0"/>
          <w:marTop w:val="0"/>
          <w:marBottom w:val="0"/>
          <w:divBdr>
            <w:top w:val="none" w:sz="0" w:space="0" w:color="auto"/>
            <w:left w:val="none" w:sz="0" w:space="0" w:color="auto"/>
            <w:bottom w:val="none" w:sz="0" w:space="0" w:color="auto"/>
            <w:right w:val="none" w:sz="0" w:space="0" w:color="auto"/>
          </w:divBdr>
        </w:div>
        <w:div w:id="263192663">
          <w:marLeft w:val="0"/>
          <w:marRight w:val="0"/>
          <w:marTop w:val="0"/>
          <w:marBottom w:val="0"/>
          <w:divBdr>
            <w:top w:val="none" w:sz="0" w:space="0" w:color="auto"/>
            <w:left w:val="none" w:sz="0" w:space="0" w:color="auto"/>
            <w:bottom w:val="none" w:sz="0" w:space="0" w:color="auto"/>
            <w:right w:val="none" w:sz="0" w:space="0" w:color="auto"/>
          </w:divBdr>
        </w:div>
        <w:div w:id="381247787">
          <w:marLeft w:val="0"/>
          <w:marRight w:val="0"/>
          <w:marTop w:val="0"/>
          <w:marBottom w:val="0"/>
          <w:divBdr>
            <w:top w:val="none" w:sz="0" w:space="0" w:color="auto"/>
            <w:left w:val="none" w:sz="0" w:space="0" w:color="auto"/>
            <w:bottom w:val="none" w:sz="0" w:space="0" w:color="auto"/>
            <w:right w:val="none" w:sz="0" w:space="0" w:color="auto"/>
          </w:divBdr>
        </w:div>
        <w:div w:id="1601062834">
          <w:marLeft w:val="0"/>
          <w:marRight w:val="0"/>
          <w:marTop w:val="0"/>
          <w:marBottom w:val="0"/>
          <w:divBdr>
            <w:top w:val="none" w:sz="0" w:space="0" w:color="auto"/>
            <w:left w:val="none" w:sz="0" w:space="0" w:color="auto"/>
            <w:bottom w:val="none" w:sz="0" w:space="0" w:color="auto"/>
            <w:right w:val="none" w:sz="0" w:space="0" w:color="auto"/>
          </w:divBdr>
        </w:div>
        <w:div w:id="182017227">
          <w:marLeft w:val="0"/>
          <w:marRight w:val="0"/>
          <w:marTop w:val="0"/>
          <w:marBottom w:val="0"/>
          <w:divBdr>
            <w:top w:val="none" w:sz="0" w:space="0" w:color="auto"/>
            <w:left w:val="none" w:sz="0" w:space="0" w:color="auto"/>
            <w:bottom w:val="none" w:sz="0" w:space="0" w:color="auto"/>
            <w:right w:val="none" w:sz="0" w:space="0" w:color="auto"/>
          </w:divBdr>
        </w:div>
        <w:div w:id="56321986">
          <w:marLeft w:val="0"/>
          <w:marRight w:val="0"/>
          <w:marTop w:val="0"/>
          <w:marBottom w:val="0"/>
          <w:divBdr>
            <w:top w:val="none" w:sz="0" w:space="0" w:color="auto"/>
            <w:left w:val="none" w:sz="0" w:space="0" w:color="auto"/>
            <w:bottom w:val="none" w:sz="0" w:space="0" w:color="auto"/>
            <w:right w:val="none" w:sz="0" w:space="0" w:color="auto"/>
          </w:divBdr>
        </w:div>
        <w:div w:id="350183952">
          <w:marLeft w:val="0"/>
          <w:marRight w:val="0"/>
          <w:marTop w:val="0"/>
          <w:marBottom w:val="0"/>
          <w:divBdr>
            <w:top w:val="none" w:sz="0" w:space="0" w:color="auto"/>
            <w:left w:val="none" w:sz="0" w:space="0" w:color="auto"/>
            <w:bottom w:val="none" w:sz="0" w:space="0" w:color="auto"/>
            <w:right w:val="none" w:sz="0" w:space="0" w:color="auto"/>
          </w:divBdr>
        </w:div>
        <w:div w:id="733624781">
          <w:marLeft w:val="0"/>
          <w:marRight w:val="0"/>
          <w:marTop w:val="0"/>
          <w:marBottom w:val="0"/>
          <w:divBdr>
            <w:top w:val="none" w:sz="0" w:space="0" w:color="auto"/>
            <w:left w:val="none" w:sz="0" w:space="0" w:color="auto"/>
            <w:bottom w:val="none" w:sz="0" w:space="0" w:color="auto"/>
            <w:right w:val="none" w:sz="0" w:space="0" w:color="auto"/>
          </w:divBdr>
        </w:div>
        <w:div w:id="251283314">
          <w:marLeft w:val="0"/>
          <w:marRight w:val="0"/>
          <w:marTop w:val="0"/>
          <w:marBottom w:val="0"/>
          <w:divBdr>
            <w:top w:val="none" w:sz="0" w:space="0" w:color="auto"/>
            <w:left w:val="none" w:sz="0" w:space="0" w:color="auto"/>
            <w:bottom w:val="none" w:sz="0" w:space="0" w:color="auto"/>
            <w:right w:val="none" w:sz="0" w:space="0" w:color="auto"/>
          </w:divBdr>
        </w:div>
        <w:div w:id="1893082255">
          <w:marLeft w:val="0"/>
          <w:marRight w:val="0"/>
          <w:marTop w:val="0"/>
          <w:marBottom w:val="0"/>
          <w:divBdr>
            <w:top w:val="none" w:sz="0" w:space="0" w:color="auto"/>
            <w:left w:val="none" w:sz="0" w:space="0" w:color="auto"/>
            <w:bottom w:val="none" w:sz="0" w:space="0" w:color="auto"/>
            <w:right w:val="none" w:sz="0" w:space="0" w:color="auto"/>
          </w:divBdr>
        </w:div>
      </w:divsChild>
    </w:div>
    <w:div w:id="494102936">
      <w:bodyDiv w:val="1"/>
      <w:marLeft w:val="0"/>
      <w:marRight w:val="0"/>
      <w:marTop w:val="0"/>
      <w:marBottom w:val="0"/>
      <w:divBdr>
        <w:top w:val="none" w:sz="0" w:space="0" w:color="auto"/>
        <w:left w:val="none" w:sz="0" w:space="0" w:color="auto"/>
        <w:bottom w:val="none" w:sz="0" w:space="0" w:color="auto"/>
        <w:right w:val="none" w:sz="0" w:space="0" w:color="auto"/>
      </w:divBdr>
      <w:divsChild>
        <w:div w:id="1588729928">
          <w:marLeft w:val="0"/>
          <w:marRight w:val="0"/>
          <w:marTop w:val="0"/>
          <w:marBottom w:val="0"/>
          <w:divBdr>
            <w:top w:val="none" w:sz="0" w:space="0" w:color="auto"/>
            <w:left w:val="none" w:sz="0" w:space="0" w:color="auto"/>
            <w:bottom w:val="none" w:sz="0" w:space="0" w:color="auto"/>
            <w:right w:val="none" w:sz="0" w:space="0" w:color="auto"/>
          </w:divBdr>
        </w:div>
        <w:div w:id="271209518">
          <w:marLeft w:val="0"/>
          <w:marRight w:val="0"/>
          <w:marTop w:val="0"/>
          <w:marBottom w:val="0"/>
          <w:divBdr>
            <w:top w:val="none" w:sz="0" w:space="0" w:color="auto"/>
            <w:left w:val="none" w:sz="0" w:space="0" w:color="auto"/>
            <w:bottom w:val="none" w:sz="0" w:space="0" w:color="auto"/>
            <w:right w:val="none" w:sz="0" w:space="0" w:color="auto"/>
          </w:divBdr>
        </w:div>
        <w:div w:id="2044674779">
          <w:marLeft w:val="0"/>
          <w:marRight w:val="0"/>
          <w:marTop w:val="0"/>
          <w:marBottom w:val="0"/>
          <w:divBdr>
            <w:top w:val="none" w:sz="0" w:space="0" w:color="auto"/>
            <w:left w:val="none" w:sz="0" w:space="0" w:color="auto"/>
            <w:bottom w:val="none" w:sz="0" w:space="0" w:color="auto"/>
            <w:right w:val="none" w:sz="0" w:space="0" w:color="auto"/>
          </w:divBdr>
        </w:div>
        <w:div w:id="1546407821">
          <w:marLeft w:val="0"/>
          <w:marRight w:val="0"/>
          <w:marTop w:val="0"/>
          <w:marBottom w:val="0"/>
          <w:divBdr>
            <w:top w:val="none" w:sz="0" w:space="0" w:color="auto"/>
            <w:left w:val="none" w:sz="0" w:space="0" w:color="auto"/>
            <w:bottom w:val="none" w:sz="0" w:space="0" w:color="auto"/>
            <w:right w:val="none" w:sz="0" w:space="0" w:color="auto"/>
          </w:divBdr>
        </w:div>
        <w:div w:id="1892301059">
          <w:marLeft w:val="0"/>
          <w:marRight w:val="0"/>
          <w:marTop w:val="0"/>
          <w:marBottom w:val="0"/>
          <w:divBdr>
            <w:top w:val="none" w:sz="0" w:space="0" w:color="auto"/>
            <w:left w:val="none" w:sz="0" w:space="0" w:color="auto"/>
            <w:bottom w:val="none" w:sz="0" w:space="0" w:color="auto"/>
            <w:right w:val="none" w:sz="0" w:space="0" w:color="auto"/>
          </w:divBdr>
        </w:div>
        <w:div w:id="869683714">
          <w:marLeft w:val="0"/>
          <w:marRight w:val="0"/>
          <w:marTop w:val="0"/>
          <w:marBottom w:val="0"/>
          <w:divBdr>
            <w:top w:val="none" w:sz="0" w:space="0" w:color="auto"/>
            <w:left w:val="none" w:sz="0" w:space="0" w:color="auto"/>
            <w:bottom w:val="none" w:sz="0" w:space="0" w:color="auto"/>
            <w:right w:val="none" w:sz="0" w:space="0" w:color="auto"/>
          </w:divBdr>
        </w:div>
        <w:div w:id="644049957">
          <w:marLeft w:val="0"/>
          <w:marRight w:val="0"/>
          <w:marTop w:val="0"/>
          <w:marBottom w:val="0"/>
          <w:divBdr>
            <w:top w:val="none" w:sz="0" w:space="0" w:color="auto"/>
            <w:left w:val="none" w:sz="0" w:space="0" w:color="auto"/>
            <w:bottom w:val="none" w:sz="0" w:space="0" w:color="auto"/>
            <w:right w:val="none" w:sz="0" w:space="0" w:color="auto"/>
          </w:divBdr>
        </w:div>
        <w:div w:id="1867862211">
          <w:marLeft w:val="0"/>
          <w:marRight w:val="0"/>
          <w:marTop w:val="0"/>
          <w:marBottom w:val="0"/>
          <w:divBdr>
            <w:top w:val="none" w:sz="0" w:space="0" w:color="auto"/>
            <w:left w:val="none" w:sz="0" w:space="0" w:color="auto"/>
            <w:bottom w:val="none" w:sz="0" w:space="0" w:color="auto"/>
            <w:right w:val="none" w:sz="0" w:space="0" w:color="auto"/>
          </w:divBdr>
        </w:div>
        <w:div w:id="1717314032">
          <w:marLeft w:val="0"/>
          <w:marRight w:val="0"/>
          <w:marTop w:val="0"/>
          <w:marBottom w:val="0"/>
          <w:divBdr>
            <w:top w:val="none" w:sz="0" w:space="0" w:color="auto"/>
            <w:left w:val="none" w:sz="0" w:space="0" w:color="auto"/>
            <w:bottom w:val="none" w:sz="0" w:space="0" w:color="auto"/>
            <w:right w:val="none" w:sz="0" w:space="0" w:color="auto"/>
          </w:divBdr>
        </w:div>
        <w:div w:id="3510779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rreports.eu/en/search_subst.html#" TargetMode="External"/><Relationship Id="rId3" Type="http://schemas.openxmlformats.org/officeDocument/2006/relationships/styles" Target="styles.xml"/><Relationship Id="rId7" Type="http://schemas.openxmlformats.org/officeDocument/2006/relationships/hyperlink" Target="https://open.fda.gov/data/download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igiaccess.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vigil.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1372</Words>
  <Characters>7823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Adhula Thiruven</cp:lastModifiedBy>
  <cp:revision>2</cp:revision>
  <dcterms:created xsi:type="dcterms:W3CDTF">2025-10-30T18:29:00Z</dcterms:created>
  <dcterms:modified xsi:type="dcterms:W3CDTF">2025-10-30T18:29:00Z</dcterms:modified>
  <cp:category/>
</cp:coreProperties>
</file>