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CBCT AI Report</w:t>
      </w:r>
    </w:p>
    <w:p>
      <w:r>
        <w:t>CBCT AI REPORT</w:t>
      </w:r>
    </w:p>
    <w:p>
      <w:r>
        <w:t>Generated: 2025-11-25 14:15:09</w:t>
      </w:r>
    </w:p>
    <w:p>
      <w:r>
        <w:t>Patient: (anonymized - no identifiers supplied)</w:t>
      </w:r>
    </w:p>
    <w:p/>
    <w:p>
      <w:pPr>
        <w:pStyle w:val="Heading2"/>
      </w:pPr>
      <w:r>
        <w:t>CLINICAL DETAILS</w:t>
      </w:r>
    </w:p>
    <w:p>
      <w:r>
        <w:t>- CBCT metadata: {'source_file': '/tmp/cbct_upload_3929wycf/8dd0d8ea-b280-4345-bd66-eeae96d5f3d1_A_SUNITHA.dcm', 'slice_thickness': 0.4}</w:t>
      </w:r>
    </w:p>
    <w:p/>
    <w:p>
      <w:pPr>
        <w:pStyle w:val="Heading2"/>
      </w:pPr>
      <w:r>
        <w:t>MEASUREMENTS SUMMARY</w:t>
      </w:r>
    </w:p>
    <w:p>
      <w:r>
        <w:t>- - Volume shape (Z,Y,X): (400, 400, 400); voxel size (dz,dy,dx) mm: (0.4,0.4,0.4) (approx)</w:t>
      </w:r>
    </w:p>
    <w:p>
      <w:r>
        <w:t>- - HU mean: 240.3; min: 0.0; max: 4095.0</w:t>
      </w:r>
    </w:p>
    <w:p>
      <w:r>
        <w:t>- - ROI 1 at (80.0, 80.0, 80.0): mean HU 922.2 (n=2197)</w:t>
      </w:r>
    </w:p>
    <w:p>
      <w:r>
        <w:t>- - ROI 2 at (80.0, 48.0, 32.0): mean HU 52.1 (n=2197)</w:t>
      </w:r>
    </w:p>
    <w:p>
      <w:r>
        <w:t>- - ROI 3 at (80.0, 48.0, 128.0): mean HU 775.2 (n=2197)</w:t>
      </w:r>
    </w:p>
    <w:p>
      <w:r>
        <w:t>- - Ridge candidate 1: height 30.40 mm (confidence 1.00) at sample_x 73</w:t>
      </w:r>
    </w:p>
    <w:p>
      <w:r>
        <w:t>- - Ridge candidate 2: height 69.20 mm (confidence 1.00) at sample_x 136</w:t>
      </w:r>
    </w:p>
    <w:p>
      <w:r>
        <w:t>- - Ridge candidate 3: height 74.80 mm (confidence 1.00) at sample_x 200</w:t>
      </w:r>
    </w:p>
    <w:p>
      <w:r>
        <w:t>- - Periapical candidate 1: vol 12800.0 mm³; mean HU 0.0; confidence 0.25</w:t>
      </w:r>
    </w:p>
    <w:p>
      <w:r>
        <w:t>- - Periapical candidate 2: vol 12800.0 mm³; mean HU 0.0; confidence 0.25</w:t>
      </w:r>
    </w:p>
    <w:p>
      <w:pPr>
        <w:pStyle w:val="Heading2"/>
      </w:pPr>
      <w:r>
        <w:t>- - WARNINGS</w:t>
      </w:r>
    </w:p>
    <w:p>
      <w:r>
        <w:t>- - Pixel spacing missing; assuming isotropic voxels equal to slice_thickness.</w:t>
      </w:r>
    </w:p>
    <w:p>
      <w:r>
        <w:t>- - Pixel spacing missing; assuming isotropic voxels equal to slice_thickness.</w:t>
      </w:r>
    </w:p>
    <w:p>
      <w:r>
        <w:t>- - Pixel spacing missing; assuming isotropic voxels equal to slice_thickness.</w:t>
      </w:r>
    </w:p>
    <w:p/>
    <w:p>
      <w:pPr>
        <w:pStyle w:val="Heading2"/>
      </w:pPr>
      <w:r>
        <w:t>FINDINGS</w:t>
      </w:r>
    </w:p>
    <w:p>
      <w:r>
        <w:t>- Conditions considered: Arch Implant format, Assessment of placed implants, Implant assessment with bone density and type, Less than full arch implant format, Surgical srews and plates, Fractured crown, Full Skull, Periapical pathology</w:t>
      </w:r>
    </w:p>
    <w:p>
      <w:r>
        <w:t>- Mandible:</w:t>
      </w:r>
    </w:p>
    <w:p>
      <w:r>
        <w:t>- • The mandibular alveolar ridge is present with normal trabecular pattern.</w:t>
      </w:r>
    </w:p>
    <w:p>
      <w:r>
        <w:t>- Bone density (ROI samples):</w:t>
      </w:r>
    </w:p>
    <w:p>
      <w:r>
        <w:t>- HU stats — mean 240.3, min 0.0, max 4095.0.</w:t>
      </w:r>
    </w:p>
    <w:p>
      <w:r>
        <w:t>- Bone ROI 1 at (80.0, 80.0, 80.0): mean HU 922.2 (n=2197).</w:t>
      </w:r>
    </w:p>
    <w:p>
      <w:r>
        <w:t>- Bone ROI 2 at (80.0, 48.0, 32.0): mean HU 52.1 (n=2197).</w:t>
      </w:r>
    </w:p>
    <w:p>
      <w:r>
        <w:t>- Bone ROI 3 at (80.0, 48.0, 128.0): mean HU 775.2 (n=2197).</w:t>
      </w:r>
    </w:p>
    <w:p>
      <w:r>
        <w:t>- Periapical candidate 1: estimated volume 12800.0 mm³; mean HU 0.0; confidence 0.25.</w:t>
      </w:r>
    </w:p>
    <w:p>
      <w:r>
        <w:t>- Periapical candidate 2: estimated volume 12800.0 mm³; mean HU 0.0; confidence 0.25.</w:t>
      </w:r>
    </w:p>
    <w:p>
      <w:r>
        <w:t>- Ridge height / Implant planning candidates:</w:t>
      </w:r>
    </w:p>
    <w:p>
      <w:r>
        <w:t>- Ridge candidate 1: height 30.40 mm (confidence 1.00).</w:t>
      </w:r>
    </w:p>
    <w:p>
      <w:r>
        <w:t>- Ridge candidate 2: height 69.20 mm (confidence 1.00).</w:t>
      </w:r>
    </w:p>
    <w:p>
      <w:r>
        <w:t>- Endodontic / RCT findings:</w:t>
      </w:r>
    </w:p>
    <w:p>
      <w:r>
        <w:t>- Periapical candidate 1: estimated volume 12800.0 mm³; mean HU 0.0; confidence 0.25.</w:t>
      </w:r>
    </w:p>
    <w:p>
      <w:r>
        <w:t>- Periapical candidate 2: estimated volume 12800.0 mm³; mean HU 0.0; confidence 0.25.</w:t>
      </w:r>
    </w:p>
    <w:p>
      <w:r>
        <w:t>- Other template findings:</w:t>
      </w:r>
    </w:p>
    <w:p>
      <w:r>
        <w:t>- 1</w:t>
      </w:r>
    </w:p>
    <w:p>
      <w:r>
        <w:t>- 2</w:t>
      </w:r>
    </w:p>
    <w:p>
      <w:r>
        <w:t>- 3</w:t>
      </w:r>
    </w:p>
    <w:p/>
    <w:p>
      <w:pPr>
        <w:pStyle w:val="Heading2"/>
      </w:pPr>
      <w:r>
        <w:t>EVIDENCE SUMMARY</w:t>
      </w:r>
    </w:p>
    <w:p>
      <w:r>
        <w:t>- No external evidence retrieved.</w:t>
      </w:r>
    </w:p>
    <w:p/>
    <w:p>
      <w:pPr>
        <w:pStyle w:val="Heading2"/>
      </w:pPr>
      <w:r>
        <w:t>IMPRESSION</w:t>
      </w:r>
    </w:p>
    <w:p>
      <w:r>
        <w:t>- Findings suspicious for periapical lucency — correlate clinically and consider endodontic evaluation.</w:t>
      </w:r>
    </w:p>
    <w:p/>
    <w:p>
      <w:pPr>
        <w:pStyle w:val="Heading2"/>
      </w:pPr>
      <w:r>
        <w:t>RECOMMENDATIONS</w:t>
      </w:r>
    </w:p>
    <w:p>
      <w:r>
        <w:t>- Correlate imaging with clinical history and intra-oral findings.</w:t>
      </w:r>
    </w:p>
    <w:p>
      <w:r>
        <w:t>- If limited field of view or image quality suboptimal, consider repeat imaging or targeted imaging as clinically indicated.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