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CASE STUDY</w:t>
        <w:br w:type="textWrapping"/>
        <w:t xml:space="preserve">BUSINESS IMPACT OF A NO-CODE APPLICATION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Quantitative ROI, Time-to-Market, Cost Optimization, and Operational Efficiency for FitCheck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To evaluate and quantify the business impact, Return on Investment (ROI), development velocity, operational cost reduction, and go-to-market speed achieved by adopting a No-Code / Low-Code implementation for the FitCheck application.</w:t>
      </w:r>
    </w:p>
    <w:p w:rsidR="00000000" w:rsidDel="00000000" w:rsidP="00000000" w:rsidRDefault="00000000" w:rsidRPr="00000000" w14:paraId="00000005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financial and strategic drivers prompting the adoption of no-code application development.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direct development expenditures, capital expenditure (CapEx), and operational expenditure (OpEx) between traditional coding and no-code implementation.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 business performance metrics including Time-to-Market (TTM), Customer Acquisition Cost (CAC), and engineering overhead.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operational agility, iteration cycles, and customer feedback responsiveness.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strategic trade-offs, scalability risks, and long-term organizational value.</w:t>
      </w:r>
    </w:p>
    <w:p w:rsidR="00000000" w:rsidDel="00000000" w:rsidP="00000000" w:rsidRDefault="00000000" w:rsidRPr="00000000" w14:paraId="0000000B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Selected Application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FitCheck (Smart Outfit Planner &amp; Wardrobe Organizer)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Background: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FitCheck is an AI-powered smart wardrobe application designed to digitize personal wardrobes and automate daily outfit styling based on weather and user calendar events. For a startup or early-stage product, building a production-grade cross-platform mobile application through traditional engineering entails high engineering salaries, lengthy development timelines (4 to 6 months), and market entry risk. Implementing an MVP via low-code/no-code platforms fundamentally shifts the business economics.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Financial and Resource Investment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A direct comparative financial assessment between traditional custom full-stack development and a No-Code / Low-Code implementation for FitCheck's Minimum Viable Product (MVP):</w:t>
      </w:r>
    </w:p>
    <w:tbl>
      <w:tblPr>
        <w:tblStyle w:val="Table1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Investment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Traditional Custom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No-Code / Low-Code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Core Team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Mobile Dev, 1 Backend Dev, 1 UI/UX Designer, 1 QA Tester, 1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Product Builder / Low-Code Developer, 1 UI/UX Designer, Part-time AI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Development Timeline to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16 to 20 Weeks (4 to 5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 to 6 Weeks (1 to 1.5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Initial Development Cost (CapEx)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$35,000 – $50,000 (Engineering billable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$7,500 – $12,000 (Platform subscriptions + developer)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Monthly Maintenance Overhead (OpEx)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$2,500 / month (Infrastructure, updates, bug patches)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$300 – $500 / month (SaaS subscriptions &amp; cloud tiers)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Time-to-First-User-Feedback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Month 4 post-deployment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Week 3 via rapid prototype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Quantitative Business Impact Metrics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Time-to-Market (TTM) Reduction (70% Faster):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FitCheck launched to initial beta testers in 5 weeks instead of the planned 16-week timeline, capturing market share and initial feedback 3 months ahead of schedule.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Cost of Ownership (TCO) Reduction (~75% Lower):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initial upfront capital requirements from an estimated $42,000 to approximately $9,800, extending company runway and preserving equity.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Feature Iteration Velocity (4x Improvement):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Modifications to UI components and recommendation filtering were executed within hours rather than multi-day sprint cycles.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De-risked Product-Market Fit (PMF):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Enabled rapid validation of user engagement metrics (outfit saves, daily active users) prior to committing substantial capital to proprietary infrastructure.</w:t>
      </w:r>
    </w:p>
    <w:p w:rsidR="00000000" w:rsidDel="00000000" w:rsidP="00000000" w:rsidRDefault="00000000" w:rsidRPr="00000000" w14:paraId="00000028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Operational Impact across Key Business Dimensions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Business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Pre-Implementation State (Traditional)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Post-Implementation State (No-Code)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Net 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Engineering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Requires managing server setups, CI/CD pipelines, dependencies, and OS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Serverless runtime and managed hosting handle operations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80% reduction in technical operations maintenance.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 Experience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Design changes required wireframing, code refactoring, QA testing, and app store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Visual drag-and-drop tweaks deployed in minutes; web client updates instantly.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Instant UI pivot based on user ratings and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Third-Party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Manual coding of HTTP clients, error interceptors, and data serialization.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Visual REST API connectors and pre-built authentication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API integration time reduced from 2 weeks to 2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Organizational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Non-technical product managers completely dependent on developers for small copy/UI fixes.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Product managers and designers make direct adjustments to copy and layouts.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Eliminates inter-team operational bottlenecks.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Strategic Risks, Vendor Lock-in &amp; Scalability Assessment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Strategic Business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Commercial / Operational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7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Vendor Platform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Risk of sudden subscription price hikes or platform service discontinuance.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Selected platforms offering full source-code export (e.g., FlutterFlow) to ensure codebase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Subscription Scaling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Monthly platform fees scale non-linearly with massive user volume growth.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Transition core high-throughput microservices (AI models) to standard cloud providers as revenue scales.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Custom Algorithmic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No-code engines cannot execute proprietary image background removal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Adopted a hybrid model: No-code handles UI/auth; specialized Python cloud APIs handle heavy computation.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FitCheck via a No-Code / Low-Code architecture yielded a 70% reduction in time-to-market (from 16 weeks down to 5 weeks).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upfront development costs were reduced by 77%, decreasing capital requirements from $42,000 to approximately $9,800.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maintenance overhead fell by over 80% due to automated cloud hosting and managed backend services.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hybrid deployment strategy preserved architectural ownership, ensuring full future scalability through clean code exportability.</w:t>
      </w:r>
    </w:p>
    <w:p w:rsidR="00000000" w:rsidDel="00000000" w:rsidP="00000000" w:rsidRDefault="00000000" w:rsidRPr="00000000" w14:paraId="00000051">
      <w:pPr>
        <w:keepNext w:val="1"/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The business impact of implementing a No-Code / Low-Code strategy for FitCheck demonstrates substantial commercial, strategic, and financial advantages. By dramatically compressing the development cycle and lowering initial capital expenditure, the organization preserved capital, mitigated product-market fit risks, and achieved rapid iteration agility. Adopting low-code platforms with source-code exportability effectively eliminates vendor lock-in, proving that visual development is a commercially viable, high-ROI approach for launching modern software products.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