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DECIMESHI (OPC) PRIVATE LIMITED</w:t>
            </w:r>
          </w:p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32"/>
                <w:szCs w:val="32"/>
              </w:rPr>
              <w:t xml:space="preserve">Information Security Risk Register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Document ID: DM-RISK-001  |  Version: 1.0  |  Effective: June 2026  |  Review: June 2027</w:t>
            </w:r>
          </w:p>
        </w:tc>
      </w:tr>
    </w:tbl>
    <w:p>
      <w:pPr>
        <w:spacing w:after="160" w:before="0"/>
      </w:pPr>
    </w:p>
    <w:p>
      <w:pPr>
        <w:pBdr>
          <w:bottom w:val="single" w:color="B8860B" w:sz="6"/>
        </w:pBd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Risk Rating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x Impact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x Critical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Immediate action required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x High or High x 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Action plan within 30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x High or Medium x 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and mitigate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Bi-annually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x Low or Low x 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Accept with monitoring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Annually</w:t>
            </w:r>
          </w:p>
        </w:tc>
      </w:tr>
    </w:tbl>
    <w:p>
      <w:pPr>
        <w:spacing w:after="160" w:before="0"/>
      </w:pPr>
    </w:p>
    <w:p>
      <w:pPr>
        <w:pBdr>
          <w:bottom w:val="single" w:color="B8860B" w:sz="6"/>
        </w:pBd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Risk Register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800"/>
        <w:gridCol w:w="800"/>
        <w:gridCol w:w="800"/>
        <w:gridCol w:w="41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Description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Controls in Place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Data Security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Unauthorized access to customer data via compromised API key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API keys stored in OpenBao; RBAC enforced via Zitadel; keys hashed in DB; rate limiting enabled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Data Security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SQL injection or data exfiltration via API endpoints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Hibernate ORM parameterized queries; input validation; Quarkus security filters; audit logging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Hetzner server outage causing platform unavailability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UptimeRobot monitoring; health checks; Docker restart policies; RTO 4 hours; RPO 24 hours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Database corruption or accidental data deletion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Daily PostgreSQL backups; 30-day retention; Flyway immutable migrations; point-in-time recovery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Access Control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Insider threat — employee misuse of production access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Least privilege access; MFA enforced; all production access logged; quarterly access reviews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Third Party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 provider (OpenAI/Anthropic) outage or data breach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BYOK model — customers own provider relationship; multiple provider support; circuit breakers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GDPR violation due to failure to respond to erasure request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Automated GDPR erasure API (DM-POL-003); 30-day SLA; erasure_requests audit table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Vulnerability in open source dependency exploited in production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Trivy scanning in CI pipeline; GitHub Security alerts; quarterly dependency updates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R-009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Accidental exposure of API keys or secrets in source code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GitHub push protection enabled; secrets in OpenBao only; .gitignore for env files; secret scanning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Payment fraud or Stripe/Razorpay integration vulnerability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PCI DSS compliant providers; webhook signature verification; no card data stored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DDoS attack causing service disruption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Caddy rate limiting; Cloudflare DDoS protection (frontend); Redis rate limiter in API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EU AI Act non-compliance for enterprise customers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Immutable audit trail; intent classification; policy enforcement; explainability via execution logs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Key person dependency — single founder/developer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Documentation in place; runbooks in infra repo; policies documented; code in GitHub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Data retention violation — data kept longer than policy allows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Automated DataRetentionService nightly job; policy DM-POL-003; audit logging of purges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R-015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Container escape or privilege escalation in Docker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6"/>
                <w:szCs w:val="16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Non-root container user; no privileged mode; internal Docker networks; updated base images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Low</w:t>
            </w:r>
          </w:p>
        </w:tc>
      </w:tr>
    </w:tbl>
    <w:p>
      <w:pPr>
        <w:spacing w:after="0" w:before="200"/>
      </w:pPr>
    </w:p>
    <w:p>
      <w:pPr>
        <w:pBdr>
          <w:bottom w:val="single" w:color="B8860B" w:sz="6"/>
        </w:pBdr>
        <w:spacing w:after="10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Risk Summary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After Controls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(Key person risk)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Action plan in progress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(API key, AI provider, dependencies)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Controls implemented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Mitigated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Accepted</w:t>
            </w:r>
          </w:p>
        </w:tc>
      </w:tr>
    </w:tbl>
    <w:p>
      <w:pPr>
        <w:spacing w:after="0" w:before="3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Borders>
              <w:top w:val="single" w:color="B886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Approved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Thirupala  |  Director, DECIMESHI (OPC) PRIVATE LIMITED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Date: June 2026  |  Next Review: June 2027</w:t>
            </w:r>
          </w:p>
        </w:tc>
      </w:tr>
    </w:tbl>
    <w:sectPr>
      <w:pgSz w:w="14400" w:h="108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2026-06-02T07:23:52.518Z</dcterms:created>
  <dcterms:modified xsi:type="dcterms:W3CDTF">2026-06-02T07:23:52.533Z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