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02280CF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present key information visually, helping decision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makers quickly understand performance, trends, and issues to take timely actions.</w:t>
      </w:r>
      <w:r w:rsidR="008C581D">
        <w:rPr>
          <w:rFonts w:ascii="Cambria" w:hAnsi="Cambria"/>
        </w:rPr>
        <w:br/>
      </w:r>
    </w:p>
    <w:p w14:paraId="345EED16" w14:textId="70F0F642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help monitor AI system outputs, performance metrics, and anomalies in real time, ensuring the system works correctly and efficiently.</w:t>
      </w:r>
      <w:r w:rsidR="008C581D">
        <w:rPr>
          <w:rFonts w:ascii="Cambria" w:hAnsi="Cambria"/>
        </w:rPr>
        <w:br/>
      </w:r>
    </w:p>
    <w:p w14:paraId="38BA46D9" w14:textId="689509B5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Interactivity allows users to filter, drill down, and explore data, making analysis more flexible and user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specific.</w:t>
      </w:r>
      <w:r w:rsidR="008C581D">
        <w:rPr>
          <w:rFonts w:ascii="Cambria" w:hAnsi="Cambria"/>
        </w:rPr>
        <w:br/>
      </w:r>
    </w:p>
    <w:p w14:paraId="5D3CD536" w14:textId="2E3467B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Too many visuals, </w:t>
      </w:r>
      <w:proofErr w:type="spellStart"/>
      <w:r w:rsidR="008C581D" w:rsidRPr="008C581D">
        <w:rPr>
          <w:rFonts w:ascii="Cambria" w:hAnsi="Cambria"/>
        </w:rPr>
        <w:t>colors</w:t>
      </w:r>
      <w:proofErr w:type="spellEnd"/>
      <w:r w:rsidR="008C581D" w:rsidRPr="008C581D">
        <w:rPr>
          <w:rFonts w:ascii="Cambria" w:hAnsi="Cambria"/>
        </w:rPr>
        <w:t>, or metrics can confuse users and make it hard to focus on important information.</w:t>
      </w:r>
      <w:r w:rsidR="008C581D">
        <w:rPr>
          <w:rFonts w:ascii="Cambria" w:hAnsi="Cambria"/>
        </w:rPr>
        <w:br/>
      </w: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6C4A506B" w14:textId="1E0B21C8" w:rsidR="008C581D" w:rsidRPr="000129FF" w:rsidRDefault="008C581D" w:rsidP="008C581D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KPIs are created by processing raw data using calculations like averages, counts, or percentages to represent key performance measures.</w:t>
      </w:r>
      <w:r>
        <w:rPr>
          <w:rFonts w:ascii="Cambria" w:hAnsi="Cambria"/>
        </w:rPr>
        <w:br/>
      </w: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proofErr w:type="spellStart"/>
      <w:r>
        <w:rPr>
          <w:rFonts w:ascii="Cambria" w:hAnsi="Cambria"/>
          <w:b/>
          <w:bCs/>
        </w:rPr>
        <w:t>PowerBI</w:t>
      </w:r>
      <w:proofErr w:type="spellEnd"/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52C5564F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46623365" w14:textId="38B420C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OUTPUT:</w:t>
      </w:r>
    </w:p>
    <w:p w14:paraId="76AD5E86" w14:textId="08089BF5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  <w:noProof/>
        </w:rPr>
        <w:drawing>
          <wp:inline distT="0" distB="0" distL="0" distR="0" wp14:anchorId="4D53C9E3" wp14:editId="2C2D1C42">
            <wp:extent cx="5731510" cy="3201035"/>
            <wp:effectExtent l="0" t="0" r="2540" b="0"/>
            <wp:docPr id="9865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9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A730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D78AE7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  <w:r w:rsidRPr="00680A05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6935D9DB" wp14:editId="3BE90415">
            <wp:extent cx="5731510" cy="3167380"/>
            <wp:effectExtent l="0" t="0" r="2540" b="0"/>
            <wp:docPr id="7868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2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A05">
        <w:rPr>
          <w:noProof/>
          <w14:ligatures w14:val="standardContextual"/>
        </w:rPr>
        <w:t xml:space="preserve"> </w:t>
      </w:r>
    </w:p>
    <w:p w14:paraId="2BCC0E3F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AE7A6F8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0870CD2C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297D30EB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24097DC" w14:textId="47F493D1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  <w:noProof/>
        </w:rPr>
        <w:drawing>
          <wp:inline distT="0" distB="0" distL="0" distR="0" wp14:anchorId="267A57F0" wp14:editId="14B391FF">
            <wp:extent cx="5731510" cy="3141980"/>
            <wp:effectExtent l="0" t="0" r="2540" b="1270"/>
            <wp:docPr id="176940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3F9ACFB4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B7E8B2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2EBCD72D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06E8259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1D97B7A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DAF0794" w14:textId="77777777" w:rsidR="00680A05" w:rsidRPr="00C012AB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3CC51F60" w14:textId="1F6BCD2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Interactivity allows filtering by department and semester and drill-down to student level, helping </w:t>
      </w:r>
      <w:proofErr w:type="spellStart"/>
      <w:r w:rsidR="008C581D" w:rsidRPr="008C581D">
        <w:rPr>
          <w:rFonts w:ascii="Cambria" w:hAnsi="Cambria"/>
        </w:rPr>
        <w:t>analyze</w:t>
      </w:r>
      <w:proofErr w:type="spellEnd"/>
      <w:r w:rsidR="008C581D" w:rsidRPr="008C581D">
        <w:rPr>
          <w:rFonts w:ascii="Cambria" w:hAnsi="Cambria"/>
        </w:rPr>
        <w:t xml:space="preserve"> performance in more detail.</w:t>
      </w:r>
      <w:r w:rsidR="008C581D">
        <w:rPr>
          <w:rFonts w:ascii="Cambria" w:hAnsi="Cambria"/>
        </w:rPr>
        <w:br/>
      </w: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lastRenderedPageBreak/>
        <w:t>Which KPIs are critical for academic monitoring?</w:t>
      </w:r>
    </w:p>
    <w:p w14:paraId="62005EF9" w14:textId="0E1442AA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>
        <w:rPr>
          <w:rFonts w:ascii="Cambria" w:hAnsi="Cambria"/>
        </w:rPr>
        <w:br/>
      </w:r>
    </w:p>
    <w:p w14:paraId="5CFF73C6" w14:textId="30D85FF3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4F095E74" w14:textId="1623513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6A14303A" w14:textId="46154C4C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Dashboards provide clear and real-time visibility of academic performance, making data accessible to faculty and administrators.</w:t>
      </w: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3"/>
  </w:num>
  <w:num w:numId="4" w16cid:durableId="93463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A0CA0"/>
    <w:rsid w:val="001C6CB1"/>
    <w:rsid w:val="00236C10"/>
    <w:rsid w:val="00643A2A"/>
    <w:rsid w:val="00680A05"/>
    <w:rsid w:val="007C1511"/>
    <w:rsid w:val="0083104D"/>
    <w:rsid w:val="008C581D"/>
    <w:rsid w:val="00F9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E3A3EE-0A36-46A7-9013-4E251A3B9585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4cdb95ef-47d3-4327-9667-cc14a6d6eee0"/>
    <ds:schemaRef ds:uri="2d7d0d79-ebdd-4e7f-ab60-5b743d057466"/>
  </ds:schemaRefs>
</ds:datastoreItem>
</file>

<file path=customXml/itemProps3.xml><?xml version="1.0" encoding="utf-8"?>
<ds:datastoreItem xmlns:ds="http://schemas.openxmlformats.org/officeDocument/2006/customXml" ds:itemID="{7D300010-F6A0-48FC-8EC4-C39797500F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Thiruvarasu.P 23BAD122</cp:lastModifiedBy>
  <cp:revision>2</cp:revision>
  <dcterms:created xsi:type="dcterms:W3CDTF">2026-01-28T09:51:00Z</dcterms:created>
  <dcterms:modified xsi:type="dcterms:W3CDTF">2026-01-28T09:51:00Z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