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A题问题3：最小死区比例与临界轮廓下总线长优化</w:t>
        <w:br/>
        <w:t>建模流程与思维说明</w:t>
      </w:r>
    </w:p>
    <w:p>
      <w:pPr>
        <w:jc w:val="center"/>
      </w:pPr>
      <w:r>
        <w:rPr>
          <w:i/>
        </w:rPr>
        <w:t>——基于 B*-Tree、Skyline、目标边长递减搜索与两阶段模拟退火</w:t>
      </w:r>
    </w:p>
    <w:p>
      <w:pPr>
        <w:pStyle w:val="Heading1"/>
      </w:pPr>
      <w:r>
        <w:t>1  问题分析与总体思路</w:t>
      </w:r>
    </w:p>
    <w:p>
      <w:r>
        <w:rPr>
          <w:b/>
        </w:rPr>
        <w:t>问题3是在问题2固定死区比例 d=0.15 的基础上继续推进。</w:t>
      </w:r>
      <w:r>
        <w:t>题目要求首先确定能够实现合法布局的最小 dead space ratio，然后在该临界死区比例对应的芯片轮廓下重新优化所有线网的总 HPWL。</w:t>
      </w:r>
    </w:p>
    <w:p>
      <w:r>
        <w:t>因此，本问包含两个相互衔接的目标：先尽可能压缩正方形芯片轮廓，再在临界轮廓内优化互连线长。为避免将几何可行性与线长目标混在同一搜索中造成求解困难，将问题3拆分为两个阶段。</w:t>
      </w:r>
    </w:p>
    <w:p>
      <w:pPr>
        <w:jc w:val="center"/>
      </w:pPr>
      <w:r>
        <w:rPr>
          <w:rFonts w:ascii="Cambria Math" w:hAnsi="Cambria Math" w:eastAsia="Noto Serif CJK SC"/>
        </w:rPr>
        <w:t>Phase 1：最小可行正方形边长搜索  →  Phase 2：固定临界边长后最小化 HPWL</w:t>
      </w:r>
    </w:p>
    <w:p>
      <w:pPr>
        <w:pStyle w:val="Heading1"/>
      </w:pPr>
      <w:r>
        <w:t>2  将最小 dead space ratio 转化为最小正方形边长</w:t>
      </w:r>
    </w:p>
    <w:p>
      <w:r>
        <w:t>设所有 HardBlock 的总面积为 A_B，芯片保持正方形，边长记为 S，则芯片面积为 A_C=S²。根据 dead space ratio 的定义：</w:t>
      </w:r>
    </w:p>
    <w:p>
      <w:pPr>
        <w:jc w:val="center"/>
      </w:pPr>
      <w:r>
        <w:rPr>
          <w:rFonts w:ascii="Cambria Math" w:hAnsi="Cambria Math" w:eastAsia="Noto Serif CJK SC"/>
        </w:rPr>
        <w:t>d = (A_C − A_B) / A_B = S² / A_B − 1</w:t>
      </w:r>
    </w:p>
    <w:p>
      <w:r>
        <w:t>对于给定数据集，A_B 为常数，因此最小化 dead space ratio 与最小化正方形边长 S 完全等价：</w:t>
      </w:r>
    </w:p>
    <w:p>
      <w:pPr>
        <w:jc w:val="center"/>
      </w:pPr>
      <w:r>
        <w:rPr>
          <w:rFonts w:ascii="Cambria Math" w:hAnsi="Cambria Math" w:eastAsia="Noto Serif CJK SC"/>
        </w:rPr>
        <w:t>min d  ⇔  min S</w:t>
      </w:r>
    </w:p>
    <w:p>
      <w:r>
        <w:t>若当前 B*-Tree 解码后得到布局宽度 W、高度 H，则正方形轮廓必须满足 W≤S、H≤S，因此理论上可写为：</w:t>
      </w:r>
    </w:p>
    <w:p>
      <w:pPr>
        <w:jc w:val="center"/>
      </w:pPr>
      <w:r>
        <w:rPr>
          <w:rFonts w:ascii="Cambria Math" w:hAnsi="Cambria Math" w:eastAsia="Noto Serif CJK SC"/>
        </w:rPr>
        <w:t>S = max(W,H)</w:t>
      </w:r>
    </w:p>
    <w:p>
      <w:r>
        <w:t>由此，问题3第一阶段不再直接搜索 dead space ratio，而改为寻找最小可行正方形边长 S*，最后再利用 d_min=(S*²/A_B)−1 反推最小死区比例。</w:t>
      </w:r>
    </w:p>
    <w:p>
      <w:pPr>
        <w:pStyle w:val="Heading1"/>
      </w:pPr>
      <w:r>
        <w:t>3  布局表示与 Skyline 解码</w:t>
      </w:r>
    </w:p>
    <w:p>
      <w:r>
        <w:t>问题3继续沿用问题1、问题2已经验证的 B*-Tree + Skyline 布局框架，以保证三问之间模型具有一致性。B*-Tree 节点对应 HardBlock，左孩子表示优先位于父模块右侧，右孩子表示沿当前轮廓向上堆叠；模块仍允许 0°/90° 旋转。</w:t>
      </w:r>
    </w:p>
    <w:p>
      <w:r>
        <w:t>给定一棵 B*-Tree 后，采用先序遍历逐个放置模块。对于第 i 个模块，其横向覆盖区间为 [x_i,x_i+w_i)，纵坐标取该区间当前 Skyline 的最大高度：</w:t>
      </w:r>
    </w:p>
    <w:p>
      <w:pPr>
        <w:jc w:val="center"/>
      </w:pPr>
      <w:r>
        <w:rPr>
          <w:rFonts w:ascii="Cambria Math" w:hAnsi="Cambria Math" w:eastAsia="Noto Serif CJK SC"/>
        </w:rPr>
        <w:t>y_i = max{ skyline(x) | x ∈ [x_i, x_i+w_i) }</w:t>
      </w:r>
    </w:p>
    <w:p>
      <w:r>
        <w:t>模块放置后更新 Skyline，由此快速获得全部模块坐标及总体轮廓 W、H。该方法在解码过程中天然避免矩形模块重叠，因此后续搜索重点集中在固定轮廓边界是否可行。</w:t>
      </w:r>
    </w:p>
    <w:p>
      <w:pPr>
        <w:pStyle w:val="Heading1"/>
      </w:pPr>
      <w:r>
        <w:t>4  初始方案及其问题：直接优化 max(W,H)</w:t>
      </w:r>
    </w:p>
    <w:p>
      <w:r>
        <w:t>最初尝试直接以 max(W,H) 作为模拟退火目标，从问题2得到的合法固定轮廓布局继续压缩。实际运行时，n100、n200、n300 五个随机种子均停留在问题2起点附近，分别为 S=449、S=449 和 S=560，未能继续下降。</w:t>
      </w:r>
    </w:p>
    <w:p>
      <w:r>
        <w:t>该现象不能证明这些边长已经达到最小值，更合理的解释是：现有 B*-Tree 拓扑已经形成稳定局部结构，直接连续压缩 max(W,H) 容易被局部最优锁定。因此，正式模型改用“给定更小目标边长并强制寻找可行布局”的固定轮廓可行性搜索。</w:t>
      </w:r>
    </w:p>
    <w:p>
      <w:pPr>
        <w:pStyle w:val="Heading1"/>
      </w:pPr>
      <w:r>
        <w:t>5  Phase 1：固定目标边长可行性搜索</w:t>
      </w:r>
    </w:p>
    <w:p>
      <w:r>
        <w:t>设当前希望验证的目标正方形边长为 L_target。对于一个候选布局，定义 x、y 方向的超界量：</w:t>
      </w:r>
    </w:p>
    <w:p>
      <w:pPr>
        <w:jc w:val="center"/>
      </w:pPr>
      <w:r>
        <w:rPr>
          <w:rFonts w:ascii="Cambria Math" w:hAnsi="Cambria Math" w:eastAsia="Noto Serif CJK SC"/>
        </w:rPr>
        <w:t>o_x = max(0, W − L_target)</w:t>
      </w:r>
    </w:p>
    <w:p>
      <w:pPr>
        <w:jc w:val="center"/>
      </w:pPr>
      <w:r>
        <w:rPr>
          <w:rFonts w:ascii="Cambria Math" w:hAnsi="Cambria Math" w:eastAsia="Noto Serif CJK SC"/>
        </w:rPr>
        <w:t>o_y = max(0, H − L_target)</w:t>
      </w:r>
    </w:p>
    <w:p>
      <w:r>
        <w:t>固定轮廓阶段不再以面积作为主要目标，而直接惩罚真实超界部分。搜索能量取：</w:t>
      </w:r>
    </w:p>
    <w:p>
      <w:pPr>
        <w:jc w:val="center"/>
      </w:pPr>
      <w:r>
        <w:rPr>
          <w:rFonts w:ascii="Cambria Math" w:hAnsi="Cambria Math" w:eastAsia="Noto Serif CJK SC"/>
        </w:rPr>
        <w:t>E = o_x² + o_y² + λ|W−H|</w:t>
      </w:r>
    </w:p>
    <w:p>
      <w:r>
        <w:t>其中 λ 取较小常数（本文程序取 0.04）。平方超界项保证越界惩罚绝对主导，平衡项仅用于鼓励布局在两个方向上更均衡，便于利用未超界方向的剩余空间换取另一方向的压缩。只要 o_x=o_y=0，即 W≤L_target 且 H≤L_target，就认为该目标边长可行。</w:t>
      </w:r>
    </w:p>
    <w:p>
      <w:pPr>
        <w:pStyle w:val="Heading1"/>
      </w:pPr>
      <w:r>
        <w:t>6  Phase 1 的邻域结构设计</w:t>
      </w:r>
    </w:p>
    <w:p>
      <w:r>
        <w:t>为了兼顾局部精修和全局拓扑调整，固定轮廓搜索采用六类邻域，并在接近边界时加入定向扰动。</w:t>
      </w:r>
    </w:p>
    <w:p>
      <w:pPr>
        <w:ind w:left="283"/>
      </w:pPr>
      <w:r>
        <w:rPr>
          <w:b/>
        </w:rPr>
        <w:t>Rotate：</w:t>
      </w:r>
      <w:r>
        <w:t>随机旋转一个 HardBlock，在宽、高方向之间重新分配占用空间。</w:t>
      </w:r>
    </w:p>
    <w:p>
      <w:pPr>
        <w:ind w:left="283"/>
      </w:pPr>
      <w:r>
        <w:rPr>
          <w:b/>
        </w:rPr>
        <w:t>Swap：</w:t>
      </w:r>
      <w:r>
        <w:t>交换两个 B*-Tree 节点对应的模块，改变局部几何组合。</w:t>
      </w:r>
    </w:p>
    <w:p>
      <w:pPr>
        <w:ind w:left="283"/>
      </w:pPr>
      <w:r>
        <w:rPr>
          <w:b/>
        </w:rPr>
        <w:t>Leaf Move：</w:t>
      </w:r>
      <w:r>
        <w:t>移动叶节点，进行较小范围的拓扑调整。</w:t>
      </w:r>
    </w:p>
    <w:p>
      <w:pPr>
        <w:ind w:left="283"/>
      </w:pPr>
      <w:r>
        <w:rPr>
          <w:b/>
        </w:rPr>
        <w:t>Subtree Move：</w:t>
      </w:r>
      <w:r>
        <w:t>整体移动一棵子树，用于较大尺度改变布局结构。</w:t>
      </w:r>
    </w:p>
    <w:p>
      <w:pPr>
        <w:ind w:left="283"/>
      </w:pPr>
      <w:r>
        <w:rPr>
          <w:b/>
        </w:rPr>
        <w:t>Child Mirror：</w:t>
      </w:r>
      <w:r>
        <w:t>交换某节点左右孩子，改变局部左右/上下堆叠关系。</w:t>
      </w:r>
    </w:p>
    <w:p>
      <w:pPr>
        <w:ind w:left="283"/>
      </w:pPr>
      <w:r>
        <w:rPr>
          <w:b/>
        </w:rPr>
        <w:t>Subtree Swap：</w:t>
      </w:r>
      <w:r>
        <w:t>交换两棵相互独立的子树，提供更强的全局跳跃能力。</w:t>
      </w:r>
    </w:p>
    <w:p>
      <w:r>
        <w:t>此外，当 W&gt;L_target 时优先扰动靠近右侧边界的临界模块；当 H&gt;L_target 时优先扰动顶部模块。该策略能够针对“只差 1~数个单位”的近可行布局进行定向修复，比完全随机搜索更适合寻找临界轮廓。</w:t>
      </w:r>
    </w:p>
    <w:p>
      <w:pPr>
        <w:pStyle w:val="Heading1"/>
      </w:pPr>
      <w:r>
        <w:t>7  粗到细的目标边长递减策略</w:t>
      </w:r>
    </w:p>
    <w:p>
      <w:r>
        <w:t>为了减少无效尝试，同时又能准确定位整数坐标体系下的临界边长，采用 5→2→1 的三级递减策略。</w:t>
      </w:r>
    </w:p>
    <w:p>
      <w:pPr>
        <w:jc w:val="center"/>
      </w:pPr>
      <w:r>
        <w:rPr>
          <w:rFonts w:ascii="Cambria Math" w:hAnsi="Cambria Math" w:eastAsia="Noto Serif CJK SC"/>
        </w:rPr>
        <w:t>已知可行边长 S  →  先试 S−5  →  再试 S−2  →  最后逐单位试 S−1</w:t>
      </w:r>
    </w:p>
    <w:p>
      <w:r>
        <w:t>若某一目标边长可行，则以该新布局作为下一次压缩的起点；若失败，则缩小步长继续搜索。该方法兼顾了粗搜索效率和临界点定位精度。</w:t>
      </w:r>
    </w:p>
    <w:p>
      <w:pPr>
        <w:pStyle w:val="Heading1"/>
      </w:pPr>
      <w:r>
        <w:t>8  S*−1 多随机种子临界核验</w:t>
      </w:r>
    </w:p>
    <w:p>
      <w:r>
        <w:t>启发式算法一次失败不能证明目标边长不存在可行布局。因此，在得到候选临界边长 S* 后，对 S*−1 额外采用 5 个独立随机种子 2026、2027、2028、42、1107 进行重复可行性搜索。</w:t>
      </w:r>
    </w:p>
    <w:p>
      <w:r>
        <w:t>若 S* 能构造合法布局，而 S*−1 在五个随机种子下均未找到合法布局，则将 S* 定义为“本文算法搜索得到的临界最小可行边长”。该表述强调算法意义上的临界值，不将启发式失败误写成严格数学不可行性证明。</w:t>
      </w:r>
    </w:p>
    <w:p>
      <w:pPr>
        <w:pStyle w:val="Heading1"/>
      </w:pPr>
      <w:r>
        <w:t>9  Phase 1 结果：临界最小死区比例</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shd w:fill="D9EAF7"/>
          </w:tcPr>
          <w:p>
            <w:pPr>
              <w:jc w:val="center"/>
            </w:pPr>
            <w:r/>
            <w:r>
              <w:rPr>
                <w:rFonts w:ascii="Times New Roman" w:hAnsi="Times New Roman" w:eastAsia="Noto Serif CJK SC"/>
                <w:b/>
                <w:sz w:val="20"/>
              </w:rPr>
              <w:t>数据集</w:t>
            </w:r>
          </w:p>
        </w:tc>
        <w:tc>
          <w:tcPr>
            <w:tcW w:type="dxa" w:w="1568"/>
            <w:vAlign w:val="center"/>
            <w:shd w:fill="D9EAF7"/>
          </w:tcPr>
          <w:p>
            <w:pPr>
              <w:jc w:val="center"/>
            </w:pPr>
            <w:r/>
            <w:r>
              <w:rPr>
                <w:rFonts w:ascii="Times New Roman" w:hAnsi="Times New Roman" w:eastAsia="Noto Serif CJK SC"/>
                <w:b/>
                <w:sz w:val="20"/>
              </w:rPr>
              <w:t>HardBlock总面积 A_B</w:t>
            </w:r>
          </w:p>
        </w:tc>
        <w:tc>
          <w:tcPr>
            <w:tcW w:type="dxa" w:w="1568"/>
            <w:vAlign w:val="center"/>
            <w:shd w:fill="D9EAF7"/>
          </w:tcPr>
          <w:p>
            <w:pPr>
              <w:jc w:val="center"/>
            </w:pPr>
            <w:r/>
            <w:r>
              <w:rPr>
                <w:rFonts w:ascii="Times New Roman" w:hAnsi="Times New Roman" w:eastAsia="Noto Serif CJK SC"/>
                <w:b/>
                <w:sz w:val="20"/>
              </w:rPr>
              <w:t>临界边长 S*</w:t>
            </w:r>
          </w:p>
        </w:tc>
        <w:tc>
          <w:tcPr>
            <w:tcW w:type="dxa" w:w="1568"/>
            <w:vAlign w:val="center"/>
            <w:shd w:fill="D9EAF7"/>
          </w:tcPr>
          <w:p>
            <w:pPr>
              <w:jc w:val="center"/>
            </w:pPr>
            <w:r/>
            <w:r>
              <w:rPr>
                <w:rFonts w:ascii="Times New Roman" w:hAnsi="Times New Roman" w:eastAsia="Noto Serif CJK SC"/>
                <w:b/>
                <w:sz w:val="20"/>
              </w:rPr>
              <w:t>临界布局</w:t>
            </w:r>
          </w:p>
        </w:tc>
        <w:tc>
          <w:tcPr>
            <w:tcW w:type="dxa" w:w="1568"/>
            <w:vAlign w:val="center"/>
            <w:shd w:fill="D9EAF7"/>
          </w:tcPr>
          <w:p>
            <w:pPr>
              <w:jc w:val="center"/>
            </w:pPr>
            <w:r/>
            <w:r>
              <w:rPr>
                <w:rFonts w:ascii="Times New Roman" w:hAnsi="Times New Roman" w:eastAsia="Noto Serif CJK SC"/>
                <w:b/>
                <w:sz w:val="20"/>
              </w:rPr>
              <w:t>d_min</w:t>
            </w:r>
          </w:p>
        </w:tc>
        <w:tc>
          <w:tcPr>
            <w:tcW w:type="dxa" w:w="1568"/>
            <w:vAlign w:val="center"/>
            <w:shd w:fill="D9EAF7"/>
          </w:tcPr>
          <w:p>
            <w:pPr>
              <w:jc w:val="center"/>
            </w:pPr>
            <w:r/>
            <w:r>
              <w:rPr>
                <w:rFonts w:ascii="Times New Roman" w:hAnsi="Times New Roman" w:eastAsia="Noto Serif CJK SC"/>
                <w:b/>
                <w:sz w:val="20"/>
              </w:rPr>
              <w:t>面积下界边长</w:t>
            </w:r>
          </w:p>
        </w:tc>
      </w:tr>
      <w:tr>
        <w:tc>
          <w:tcPr>
            <w:tcW w:type="dxa" w:w="1568"/>
            <w:vAlign w:val="center"/>
          </w:tcPr>
          <w:p>
            <w:pPr>
              <w:jc w:val="center"/>
            </w:pPr>
            <w:r/>
            <w:r>
              <w:rPr>
                <w:rFonts w:ascii="Times New Roman" w:hAnsi="Times New Roman" w:eastAsia="Noto Serif CJK SC"/>
                <w:b w:val="0"/>
                <w:sz w:val="20"/>
              </w:rPr>
              <w:t>n100</w:t>
            </w:r>
          </w:p>
        </w:tc>
        <w:tc>
          <w:tcPr>
            <w:tcW w:type="dxa" w:w="1568"/>
            <w:vAlign w:val="center"/>
          </w:tcPr>
          <w:p>
            <w:pPr>
              <w:jc w:val="center"/>
            </w:pPr>
            <w:r/>
            <w:r>
              <w:rPr>
                <w:rFonts w:ascii="Times New Roman" w:hAnsi="Times New Roman" w:eastAsia="Noto Serif CJK SC"/>
                <w:b w:val="0"/>
                <w:sz w:val="20"/>
              </w:rPr>
              <w:t>179501</w:t>
            </w:r>
          </w:p>
        </w:tc>
        <w:tc>
          <w:tcPr>
            <w:tcW w:type="dxa" w:w="1568"/>
            <w:vAlign w:val="center"/>
          </w:tcPr>
          <w:p>
            <w:pPr>
              <w:jc w:val="center"/>
            </w:pPr>
            <w:r/>
            <w:r>
              <w:rPr>
                <w:rFonts w:ascii="Times New Roman" w:hAnsi="Times New Roman" w:eastAsia="Noto Serif CJK SC"/>
                <w:b w:val="0"/>
                <w:sz w:val="20"/>
              </w:rPr>
              <w:t>435</w:t>
            </w:r>
          </w:p>
        </w:tc>
        <w:tc>
          <w:tcPr>
            <w:tcW w:type="dxa" w:w="1568"/>
            <w:vAlign w:val="center"/>
          </w:tcPr>
          <w:p>
            <w:pPr>
              <w:jc w:val="center"/>
            </w:pPr>
            <w:r/>
            <w:r>
              <w:rPr>
                <w:rFonts w:ascii="Times New Roman" w:hAnsi="Times New Roman" w:eastAsia="Noto Serif CJK SC"/>
                <w:b w:val="0"/>
                <w:sz w:val="20"/>
              </w:rPr>
              <w:t>435×435</w:t>
            </w:r>
          </w:p>
        </w:tc>
        <w:tc>
          <w:tcPr>
            <w:tcW w:type="dxa" w:w="1568"/>
            <w:vAlign w:val="center"/>
          </w:tcPr>
          <w:p>
            <w:pPr>
              <w:jc w:val="center"/>
            </w:pPr>
            <w:r/>
            <w:r>
              <w:rPr>
                <w:rFonts w:ascii="Times New Roman" w:hAnsi="Times New Roman" w:eastAsia="Noto Serif CJK SC"/>
                <w:b w:val="0"/>
                <w:sz w:val="20"/>
              </w:rPr>
              <w:t>5.417240%</w:t>
            </w:r>
          </w:p>
        </w:tc>
        <w:tc>
          <w:tcPr>
            <w:tcW w:type="dxa" w:w="1568"/>
            <w:vAlign w:val="center"/>
          </w:tcPr>
          <w:p>
            <w:pPr>
              <w:jc w:val="center"/>
            </w:pPr>
            <w:r/>
            <w:r>
              <w:rPr>
                <w:rFonts w:ascii="Times New Roman" w:hAnsi="Times New Roman" w:eastAsia="Noto Serif CJK SC"/>
                <w:b w:val="0"/>
                <w:sz w:val="20"/>
              </w:rPr>
              <w:t>424</w:t>
            </w:r>
          </w:p>
        </w:tc>
      </w:tr>
      <w:tr>
        <w:tc>
          <w:tcPr>
            <w:tcW w:type="dxa" w:w="1568"/>
            <w:vAlign w:val="center"/>
          </w:tcPr>
          <w:p>
            <w:pPr>
              <w:jc w:val="center"/>
            </w:pPr>
            <w:r/>
            <w:r>
              <w:rPr>
                <w:rFonts w:ascii="Times New Roman" w:hAnsi="Times New Roman" w:eastAsia="Noto Serif CJK SC"/>
                <w:b w:val="0"/>
                <w:sz w:val="20"/>
              </w:rPr>
              <w:t>n200</w:t>
            </w:r>
          </w:p>
        </w:tc>
        <w:tc>
          <w:tcPr>
            <w:tcW w:type="dxa" w:w="1568"/>
            <w:vAlign w:val="center"/>
          </w:tcPr>
          <w:p>
            <w:pPr>
              <w:jc w:val="center"/>
            </w:pPr>
            <w:r/>
            <w:r>
              <w:rPr>
                <w:rFonts w:ascii="Times New Roman" w:hAnsi="Times New Roman" w:eastAsia="Noto Serif CJK SC"/>
                <w:b w:val="0"/>
                <w:sz w:val="20"/>
              </w:rPr>
              <w:t>175696</w:t>
            </w:r>
          </w:p>
        </w:tc>
        <w:tc>
          <w:tcPr>
            <w:tcW w:type="dxa" w:w="1568"/>
            <w:vAlign w:val="center"/>
          </w:tcPr>
          <w:p>
            <w:pPr>
              <w:jc w:val="center"/>
            </w:pPr>
            <w:r/>
            <w:r>
              <w:rPr>
                <w:rFonts w:ascii="Times New Roman" w:hAnsi="Times New Roman" w:eastAsia="Noto Serif CJK SC"/>
                <w:b w:val="0"/>
                <w:sz w:val="20"/>
              </w:rPr>
              <w:t>442</w:t>
            </w:r>
          </w:p>
        </w:tc>
        <w:tc>
          <w:tcPr>
            <w:tcW w:type="dxa" w:w="1568"/>
            <w:vAlign w:val="center"/>
          </w:tcPr>
          <w:p>
            <w:pPr>
              <w:jc w:val="center"/>
            </w:pPr>
            <w:r/>
            <w:r>
              <w:rPr>
                <w:rFonts w:ascii="Times New Roman" w:hAnsi="Times New Roman" w:eastAsia="Noto Serif CJK SC"/>
                <w:b w:val="0"/>
                <w:sz w:val="20"/>
              </w:rPr>
              <w:t>442×442</w:t>
            </w:r>
          </w:p>
        </w:tc>
        <w:tc>
          <w:tcPr>
            <w:tcW w:type="dxa" w:w="1568"/>
            <w:vAlign w:val="center"/>
          </w:tcPr>
          <w:p>
            <w:pPr>
              <w:jc w:val="center"/>
            </w:pPr>
            <w:r/>
            <w:r>
              <w:rPr>
                <w:rFonts w:ascii="Times New Roman" w:hAnsi="Times New Roman" w:eastAsia="Noto Serif CJK SC"/>
                <w:b w:val="0"/>
                <w:sz w:val="20"/>
              </w:rPr>
              <w:t>11.194336%</w:t>
            </w:r>
          </w:p>
        </w:tc>
        <w:tc>
          <w:tcPr>
            <w:tcW w:type="dxa" w:w="1568"/>
            <w:vAlign w:val="center"/>
          </w:tcPr>
          <w:p>
            <w:pPr>
              <w:jc w:val="center"/>
            </w:pPr>
            <w:r/>
            <w:r>
              <w:rPr>
                <w:rFonts w:ascii="Times New Roman" w:hAnsi="Times New Roman" w:eastAsia="Noto Serif CJK SC"/>
                <w:b w:val="0"/>
                <w:sz w:val="20"/>
              </w:rPr>
              <w:t>420</w:t>
            </w:r>
          </w:p>
        </w:tc>
      </w:tr>
      <w:tr>
        <w:tc>
          <w:tcPr>
            <w:tcW w:type="dxa" w:w="1568"/>
            <w:vAlign w:val="center"/>
          </w:tcPr>
          <w:p>
            <w:pPr>
              <w:jc w:val="center"/>
            </w:pPr>
            <w:r/>
            <w:r>
              <w:rPr>
                <w:rFonts w:ascii="Times New Roman" w:hAnsi="Times New Roman" w:eastAsia="Noto Serif CJK SC"/>
                <w:b w:val="0"/>
                <w:sz w:val="20"/>
              </w:rPr>
              <w:t>n300</w:t>
            </w:r>
          </w:p>
        </w:tc>
        <w:tc>
          <w:tcPr>
            <w:tcW w:type="dxa" w:w="1568"/>
            <w:vAlign w:val="center"/>
          </w:tcPr>
          <w:p>
            <w:pPr>
              <w:jc w:val="center"/>
            </w:pPr>
            <w:r/>
            <w:r>
              <w:rPr>
                <w:rFonts w:ascii="Times New Roman" w:hAnsi="Times New Roman" w:eastAsia="Noto Serif CJK SC"/>
                <w:b w:val="0"/>
                <w:sz w:val="20"/>
              </w:rPr>
              <w:t>273170</w:t>
            </w:r>
          </w:p>
        </w:tc>
        <w:tc>
          <w:tcPr>
            <w:tcW w:type="dxa" w:w="1568"/>
            <w:vAlign w:val="center"/>
          </w:tcPr>
          <w:p>
            <w:pPr>
              <w:jc w:val="center"/>
            </w:pPr>
            <w:r/>
            <w:r>
              <w:rPr>
                <w:rFonts w:ascii="Times New Roman" w:hAnsi="Times New Roman" w:eastAsia="Noto Serif CJK SC"/>
                <w:b w:val="0"/>
                <w:sz w:val="20"/>
              </w:rPr>
              <w:t>549</w:t>
            </w:r>
          </w:p>
        </w:tc>
        <w:tc>
          <w:tcPr>
            <w:tcW w:type="dxa" w:w="1568"/>
            <w:vAlign w:val="center"/>
          </w:tcPr>
          <w:p>
            <w:pPr>
              <w:jc w:val="center"/>
            </w:pPr>
            <w:r/>
            <w:r>
              <w:rPr>
                <w:rFonts w:ascii="Times New Roman" w:hAnsi="Times New Roman" w:eastAsia="Noto Serif CJK SC"/>
                <w:b w:val="0"/>
                <w:sz w:val="20"/>
              </w:rPr>
              <w:t>549×549</w:t>
            </w:r>
          </w:p>
        </w:tc>
        <w:tc>
          <w:tcPr>
            <w:tcW w:type="dxa" w:w="1568"/>
            <w:vAlign w:val="center"/>
          </w:tcPr>
          <w:p>
            <w:pPr>
              <w:jc w:val="center"/>
            </w:pPr>
            <w:r/>
            <w:r>
              <w:rPr>
                <w:rFonts w:ascii="Times New Roman" w:hAnsi="Times New Roman" w:eastAsia="Noto Serif CJK SC"/>
                <w:b w:val="0"/>
                <w:sz w:val="20"/>
              </w:rPr>
              <w:t>10.334590%</w:t>
            </w:r>
          </w:p>
        </w:tc>
        <w:tc>
          <w:tcPr>
            <w:tcW w:type="dxa" w:w="1568"/>
            <w:vAlign w:val="center"/>
          </w:tcPr>
          <w:p>
            <w:pPr>
              <w:jc w:val="center"/>
            </w:pPr>
            <w:r/>
            <w:r>
              <w:rPr>
                <w:rFonts w:ascii="Times New Roman" w:hAnsi="Times New Roman" w:eastAsia="Noto Serif CJK SC"/>
                <w:b w:val="0"/>
                <w:sz w:val="20"/>
              </w:rPr>
              <w:t>523</w:t>
            </w:r>
          </w:p>
        </w:tc>
      </w:tr>
    </w:tbl>
    <w:p>
      <w:r>
        <w:t>对应计算关系为：</w:t>
      </w:r>
    </w:p>
    <w:p>
      <w:pPr>
        <w:jc w:val="center"/>
      </w:pPr>
      <w:r>
        <w:rPr>
          <w:rFonts w:ascii="Cambria Math" w:hAnsi="Cambria Math" w:eastAsia="Noto Serif CJK SC"/>
        </w:rPr>
        <w:t>d_min = S*² / A_B − 1</w:t>
      </w:r>
    </w:p>
    <w:p>
      <w:r>
        <w:t>结果表明，三组数据的临界死区比例均低于问题2固定的 15%。其中 n100 可进一步压缩至约 5.42%，压缩空间最大；n200 与 n300 分别约为 11.19% 和 10.33%。</w:t>
      </w:r>
    </w:p>
    <w:p>
      <w:pPr>
        <w:pStyle w:val="Heading1"/>
      </w:pPr>
      <w:r>
        <w:t>10  临界死区结果的解释</w:t>
      </w:r>
    </w:p>
    <w:p>
      <w:r>
        <w:t>可以注意到 n200 的 HardBlock 总面积 175696 反而小于 n100 的 179501，但其临界死区比例却明显更高。这说明最小 dead space ratio 并不只由模块总面积决定，还与模块数量、尺寸分布、几何离散程度以及 B*-Tree 拓扑可压缩性有关。</w:t>
      </w:r>
    </w:p>
    <w:p>
      <w:r>
        <w:t>n200 模块数量更多、尺寸组合更碎片化，在有限正方形轮廓内完成无重叠拼接时更容易形成难以利用的局部空隙，因此即使总面积略小，也可能需要更高的死区比例才能维持合法布局。该结果反映了 VLSI floorplanning 中“总面积”和“几何可布局性”并非完全等价。</w:t>
      </w:r>
    </w:p>
    <w:p>
      <w:pPr>
        <w:pStyle w:val="Heading1"/>
      </w:pPr>
      <w:r>
        <w:t>11  Phase 2：临界轮廓下重新优化 HPWL</w:t>
      </w:r>
    </w:p>
    <w:p>
      <w:r>
        <w:t>确定各组 S* 后，将芯片边长固定为对应临界值：n100 取 L=435，n200 取 L=442，n300 取 L=549。随后在保持模块不重叠且 W≤L、H≤L 的条件下，重新最小化总半周长线长。</w:t>
      </w:r>
    </w:p>
    <w:p>
      <w:r>
        <w:t>HardBlock 引脚仍取模块几何中心：</w:t>
      </w:r>
    </w:p>
    <w:p>
      <w:pPr>
        <w:jc w:val="center"/>
      </w:pPr>
      <w:r>
        <w:rPr>
          <w:rFonts w:ascii="Cambria Math" w:hAnsi="Cambria Math" w:eastAsia="Noto Serif CJK SC"/>
        </w:rPr>
        <w:t>p_i = (x_i + w_i/2,  y_i + h_i/2)</w:t>
      </w:r>
    </w:p>
    <w:p>
      <w:r>
        <w:t>Terminal 坐标由 .pl 文件给定并保持固定。对于线网 e，采用 HPWL 近似估计线长：</w:t>
      </w:r>
    </w:p>
    <w:p>
      <w:pPr>
        <w:jc w:val="center"/>
      </w:pPr>
      <w:r>
        <w:rPr>
          <w:rFonts w:ascii="Cambria Math" w:hAnsi="Cambria Math" w:eastAsia="Noto Serif CJK SC"/>
        </w:rPr>
        <w:t>HPWL_e = (max x − min x) + (max y − min y)</w:t>
      </w:r>
    </w:p>
    <w:p>
      <w:r>
        <w:t>全部线网总目标为：</w:t>
      </w:r>
    </w:p>
    <w:p>
      <w:pPr>
        <w:jc w:val="center"/>
      </w:pPr>
      <w:r>
        <w:rPr>
          <w:rFonts w:ascii="Cambria Math" w:hAnsi="Cambria Math" w:eastAsia="Noto Serif CJK SC"/>
        </w:rPr>
        <w:t>min HPWL_total = min Σ_e HPWL_e</w:t>
      </w:r>
    </w:p>
    <w:p>
      <w:r>
        <w:t>约束为：W≤S*，H≤S*，HardBlock 之间无重叠，模块仅允许 0°/90° 旋转。</w:t>
      </w:r>
    </w:p>
    <w:p>
      <w:pPr>
        <w:pStyle w:val="Heading1"/>
      </w:pPr>
      <w:r>
        <w:t>12  Phase 2 求解策略</w:t>
      </w:r>
    </w:p>
    <w:p>
      <w:r>
        <w:t>由于临界轮廓比问题2的 15% 轮廓更加紧凑，可行域明显缩小，因此继续采用问题2已经验证有效的两阶段模拟退火，但减少过于剧烈的结构扰动，并为越界候选增加重复尝试机制。</w:t>
      </w:r>
    </w:p>
    <w:p>
      <w:pPr>
        <w:jc w:val="center"/>
      </w:pPr>
      <w:r>
        <w:rPr>
          <w:rFonts w:ascii="Cambria Math" w:hAnsi="Cambria Math" w:eastAsia="Noto Serif CJK SC"/>
        </w:rPr>
        <w:t>临界可行布局  →  Global HPWL SA  →  Local Polish</w:t>
      </w:r>
    </w:p>
    <w:p>
      <w:r>
        <w:t>Global SA 主要使用 Rotate、Swap、Leaf Move 和少量 Subtree Move，以兼顾全局搜索与可行率；Local Polish 则只保留 Rotate、Swap 和 Leaf Move，在低温条件下对优质拓扑继续精修。每次产生候选布局后先检查 W≤S*、H≤S*，若越界则拒绝并重新尝试候选。</w:t>
      </w:r>
    </w:p>
    <w:p>
      <w:r>
        <w:t>三组数据均采用 5 个随机种子独立优化，共执行 15 次 HPWL 搜索。每组取最小 HPWL 作为最终结果，并利用均值、标准差和变异系数 CV 评价启发式优化结果的稳定性。</w:t>
      </w:r>
    </w:p>
    <w:p>
      <w:pPr>
        <w:pStyle w:val="Heading1"/>
      </w:pPr>
      <w:r>
        <w:t>13  第三问完整建模流程</w:t>
      </w:r>
    </w:p>
    <w:p>
      <w:pPr>
        <w:ind w:left="283"/>
      </w:pPr>
      <w:r>
        <w:rPr>
          <w:b/>
        </w:rPr>
        <w:t xml:space="preserve">1. </w:t>
      </w:r>
      <w:r>
        <w:t>问题2得到 15% 固定轮廓合法布局</w:t>
      </w:r>
    </w:p>
    <w:p>
      <w:pPr>
        <w:ind w:left="283"/>
      </w:pPr>
      <w:r>
        <w:rPr>
          <w:b/>
        </w:rPr>
        <w:t xml:space="preserve">2. </w:t>
      </w:r>
      <w:r>
        <w:t>将最小 dead space ratio 转化为最小正方形边长问题</w:t>
      </w:r>
    </w:p>
    <w:p>
      <w:pPr>
        <w:ind w:left="283"/>
      </w:pPr>
      <w:r>
        <w:rPr>
          <w:b/>
        </w:rPr>
        <w:t xml:space="preserve">3. </w:t>
      </w:r>
      <w:r>
        <w:t>建立目标边长 L_target 下的超界量惩罚模型</w:t>
      </w:r>
    </w:p>
    <w:p>
      <w:pPr>
        <w:ind w:left="283"/>
      </w:pPr>
      <w:r>
        <w:rPr>
          <w:b/>
        </w:rPr>
        <w:t xml:space="preserve">4. </w:t>
      </w:r>
      <w:r>
        <w:t>采用 B*-Tree + Skyline 与六邻域模拟退火搜索可行布局</w:t>
      </w:r>
    </w:p>
    <w:p>
      <w:pPr>
        <w:ind w:left="283"/>
      </w:pPr>
      <w:r>
        <w:rPr>
          <w:b/>
        </w:rPr>
        <w:t xml:space="preserve">5. </w:t>
      </w:r>
      <w:r>
        <w:t>按 5→2→1 步长逐级压缩目标边长</w:t>
      </w:r>
    </w:p>
    <w:p>
      <w:pPr>
        <w:ind w:left="283"/>
      </w:pPr>
      <w:r>
        <w:rPr>
          <w:b/>
        </w:rPr>
        <w:t xml:space="preserve">6. </w:t>
      </w:r>
      <w:r>
        <w:t>对 S*−1 采用 5 个独立随机种子进行临界核验</w:t>
      </w:r>
    </w:p>
    <w:p>
      <w:pPr>
        <w:ind w:left="283"/>
      </w:pPr>
      <w:r>
        <w:rPr>
          <w:b/>
        </w:rPr>
        <w:t xml:space="preserve">7. </w:t>
      </w:r>
      <w:r>
        <w:t>由 d_min=S*²/A_B−1 计算临界最小死区比例</w:t>
      </w:r>
    </w:p>
    <w:p>
      <w:pPr>
        <w:ind w:left="283"/>
      </w:pPr>
      <w:r>
        <w:rPr>
          <w:b/>
        </w:rPr>
        <w:t xml:space="preserve">8. </w:t>
      </w:r>
      <w:r>
        <w:t>固定 S*，重新建立 HPWL 最小化模型</w:t>
      </w:r>
    </w:p>
    <w:p>
      <w:pPr>
        <w:ind w:left="283"/>
      </w:pPr>
      <w:r>
        <w:rPr>
          <w:b/>
        </w:rPr>
        <w:t xml:space="preserve">9. </w:t>
      </w:r>
      <w:r>
        <w:t>采用 Global SA + Local Polish 完成 5 随机种子线长优化</w:t>
      </w:r>
    </w:p>
    <w:p>
      <w:pPr>
        <w:ind w:left="283"/>
      </w:pPr>
      <w:r>
        <w:rPr>
          <w:b/>
        </w:rPr>
        <w:t xml:space="preserve">10. </w:t>
      </w:r>
      <w:r>
        <w:t>输出最优 HPWL、布局坐标、收敛曲线和稳定性指标</w:t>
      </w:r>
    </w:p>
    <w:p>
      <w:pPr>
        <w:pStyle w:val="Heading1"/>
      </w:pPr>
      <w:r>
        <w:t>14  论文撰写中的关键表述</w:t>
      </w:r>
    </w:p>
    <w:p>
      <w:r>
        <w:t>第三问应强调“临界最小可行边长”来自启发式搜索与多随机种子核验。建议采用“本文算法搜索得到的临界最小 dead space ratio”这一表述，避免将 S*−1 多次搜索失败表述成严格数学不可行性证明。</w:t>
      </w:r>
    </w:p>
    <w:p>
      <w:r>
        <w:t>问题3与问题2的逻辑关系可概括为：问题2解决固定 15% 死区下的合法布局与线长优化，问题3进一步将固定边界变为待优化边界，并在压缩到临界可行轮廓后重新完成 HPWL 优化。这样能够体现模型从“固定约束优化”向“约束边界优化”的自然递进。</w:t>
      </w:r>
    </w:p>
    <w:p>
      <w:pPr>
        <w:spacing w:before="200"/>
      </w:pPr>
      <w:r>
        <w:rPr>
          <w:b/>
        </w:rPr>
        <w:t>说明：</w:t>
      </w:r>
      <w:r>
        <w:t>本稿用于第三问论文建模部分。Phase 2 的最终 HPWL 数值尚待单文件程序运行结果补入，当前已将第一阶段临界死区比例和完整求解逻辑整理完毕。</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Times New Roman" w:hAnsi="Times New Roman"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Noto Sans CJK SC"/>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