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A题问题4 建模过程与思维说明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sz w:val="24"/>
        </w:rPr>
        <w:t>——基于问题1 B*-Tree—模拟退火模型的异形 HardBlock 扩展</w:t>
      </w: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1  问题分析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问题4要求在问题1所建立模型的基础上，进一步考虑 L 型、T 型等非矩形 HardBlock，并允许模块进行 0°、90°、180°、270° 四种方向旋转。题目同时指出求解算法可在问题1算法基础上适当修改，因此本问不重新设计新的总体优化算法，而是保留问题1的 B*-Tree 编码、Skyline 解码思想和模拟退火搜索框架，仅针对异形模块的几何表示、旋转状态与布局解码方式进行局部扩展。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由于本问仅包含 4 个模块，且其中仅 b1、b2 为异形模块，问题规模很小。因而模型修正的重点不在于构造更复杂的全新算法，而在于保证异形模块能够被正确表示、旋转、放置和判重，同时尽可能继承问题1的算法结构。</w:t>
      </w: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2  问题1模型的修正思路</w:t>
      </w:r>
    </w:p>
    <w:p>
      <w:pPr>
        <w:pStyle w:val="Heading2"/>
        <w:keepNext/>
        <w:spacing w:before="100" w:after="40"/>
      </w:pPr>
      <w:r>
        <w:rPr>
          <w:rFonts w:ascii="Times New Roman" w:hAnsi="Times New Roman" w:eastAsia="黑体"/>
          <w:b/>
          <w:sz w:val="24"/>
        </w:rPr>
        <w:t>2.1  矩形 HardBlock 扩展为刚性矩形组合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问题1中，每个 HardBlock 可由宽和高两个参数直接表示。对于 L 型、T 型模块，本文将其分解为若干互不重叠的矩形子区域，并规定各子区域之间的相对位置始终保持不变。这样，异形模块在优化过程中仍作为一个整体移动，而不会因为分解而被拆散。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sz w:val="22"/>
        </w:rPr>
        <w:t>Bᵢ = ⋃ₖ Rᵢₖ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其中，Rᵢₖ 表示第 i 个模块的第 k 个矩形子区域。该表示方法把复杂的异形几何问题转化为多个普通矩形的组合，从而可以继续复用问题1中的矩形几何计算思想。</w:t>
      </w:r>
    </w:p>
    <w:p>
      <w:pPr>
        <w:pStyle w:val="Heading2"/>
        <w:keepNext/>
        <w:spacing w:before="100" w:after="40"/>
      </w:pPr>
      <w:r>
        <w:rPr>
          <w:rFonts w:ascii="Times New Roman" w:hAnsi="Times New Roman" w:eastAsia="黑体"/>
          <w:b/>
          <w:sz w:val="24"/>
        </w:rPr>
        <w:t>2.2  四方向旋转状态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问题1中普通矩形只需区分 0° 与 90° 两种等价方向；第四问中，L 型、T 型模块在 180° 与 270° 旋转后会形成不同几何形态，因此将模块旋转状态扩展为四种。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sz w:val="22"/>
        </w:rPr>
        <w:t>rᵢ ∈ {0,1,2,3}  ↔  {0°,90°,180°,270°}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程序中可预先生成各模块的四种旋转状态。模拟退火中的 Rotate 邻域只需将原来的二状态切换改为四状态随机转换，其余 Swap、Leaf Move、Subtree Move 等邻域操作保持不变。</w:t>
      </w:r>
    </w:p>
    <w:p>
      <w:pPr>
        <w:pStyle w:val="Heading2"/>
        <w:keepNext/>
        <w:spacing w:before="100" w:after="40"/>
      </w:pPr>
      <w:r>
        <w:rPr>
          <w:rFonts w:ascii="Times New Roman" w:hAnsi="Times New Roman" w:eastAsia="黑体"/>
          <w:b/>
          <w:sz w:val="24"/>
        </w:rPr>
        <w:t>2.3  Shape-aware Skyline 解码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普通矩形底边为水平直线，因此问题1中模块的最低合法纵坐标可直接由其横向覆盖区间上的 Skyline 最大值确定。但异形模块在不同横向位置上的底部与顶部轮廓并不相同，所以本问对每种旋转状态分别构造下轮廓 bᵢ(u) 和上轮廓 tᵢ(u)。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sz w:val="22"/>
        </w:rPr>
        <w:t>yᵢ = maxᵤ { H(xᵢ+u) - bᵢ(u) }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其中 H(x) 为当前 Skyline 高度。模块放置后，按照其真实上轮廓更新 Skyline：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sz w:val="22"/>
        </w:rPr>
        <w:t>H_new(xᵢ+u) = max{ H(xᵢ+u), yᵢ+tᵢ(u) }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该修正保持了问题1 Skyline 解码的基本思想，但不再使用异形模块的完整外接矩形作为占用区域，从而能够利用 L 型、T 型模块的凹槽结构，减少不必要的空白面积。</w:t>
      </w:r>
    </w:p>
    <w:p>
      <w:pPr>
        <w:pStyle w:val="Heading2"/>
        <w:keepNext/>
        <w:spacing w:before="100" w:after="40"/>
      </w:pPr>
      <w:r>
        <w:rPr>
          <w:rFonts w:ascii="Times New Roman" w:hAnsi="Times New Roman" w:eastAsia="黑体"/>
          <w:b/>
          <w:sz w:val="24"/>
        </w:rPr>
        <w:t>2.4  精确重叠检测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为了防止异形模块之间发生真实几何重叠，最终合法性检查不再只比较模块外接矩形，而是对两个模块内部的矩形子区域逐一进行相交判断。对于任意两个模块 Bᵢ、Bⱼ，仅当所有矩形子块对均不相交时，才认为两个模块无重叠。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sz w:val="22"/>
        </w:rPr>
        <w:t>Rᵢp ∩ Rⱼq = ∅，∀ p,q</w:t>
      </w: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3  优化目标与理论下界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第四问继续沿用问题1“外包矩形面积最小”的主目标。设最终布局宽度和高度分别为 W、H，则外包矩形面积为：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sz w:val="22"/>
        </w:rPr>
        <w:t>A = W × H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当面积相同时，继续采用长宽比接近 1 作为次级评价指标，以避免得到过度狭长的布局。程序仍使用面积严格优先、长宽比仅作微小修正的目标函数。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sz w:val="22"/>
        </w:rPr>
        <w:t>E = A + 0.5 × (ρ-1)/(ρ+1)，其中 ρ = max(W,H)/min(W,H)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本问四个模块的真实面积分别为 8、6、2、4，因此模块总面积为：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sz w:val="22"/>
        </w:rPr>
        <w:t>A_block = 8 + 6 + 2 + 4 = 20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由于所有模块不得重叠，任意合法外包矩形面积都不可能小于模块总面积，因此可得到理论下界：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sz w:val="22"/>
        </w:rPr>
        <w:t>A* ≥ 20</w:t>
      </w: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4  求解算法</w:t>
      </w:r>
    </w:p>
    <w:p>
      <w:pPr>
        <w:pStyle w:val="Heading2"/>
        <w:keepNext/>
        <w:spacing w:before="100" w:after="40"/>
      </w:pPr>
      <w:r>
        <w:rPr>
          <w:rFonts w:ascii="Times New Roman" w:hAnsi="Times New Roman" w:eastAsia="黑体"/>
          <w:b/>
          <w:sz w:val="24"/>
        </w:rPr>
        <w:t>4.1  保留问题1 B*-Tree—模拟退火框架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第四问仍以 B*-Tree 表示模块之间的相对拓扑关系，并通过修正后的 Shape-aware Skyline 将树结构解码为实际坐标。优化阶段继续采用问题1中的两阶段模拟退火：先进行较大范围的 Global SA，再进行低温 Local Polish，以兼顾全局搜索与局部精修。</w:t>
      </w:r>
    </w:p>
    <w:p>
      <w:pPr>
        <w:pStyle w:val="Heading2"/>
        <w:keepNext/>
        <w:spacing w:before="100" w:after="40"/>
      </w:pPr>
      <w:r>
        <w:rPr>
          <w:rFonts w:ascii="Times New Roman" w:hAnsi="Times New Roman" w:eastAsia="黑体"/>
          <w:b/>
          <w:sz w:val="24"/>
        </w:rPr>
        <w:t>4.2  邻域操作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Global SA 中保留问题1的 Rotate、Swap、Leaf Move 和 Subtree Move 四类邻域。随着温度下降，逐步增加旋转与交换等局部操作比例、降低大规模子树移动比例。Local Polish 则主要采用 Rotate、Swap 和 Leaf Move，对已有较优结构进行小幅改进。</w:t>
      </w:r>
    </w:p>
    <w:p>
      <w:pPr>
        <w:pStyle w:val="Heading2"/>
        <w:keepNext/>
        <w:spacing w:before="100" w:after="40"/>
      </w:pPr>
      <w:r>
        <w:rPr>
          <w:rFonts w:ascii="Times New Roman" w:hAnsi="Times New Roman" w:eastAsia="黑体"/>
          <w:b/>
          <w:sz w:val="24"/>
        </w:rPr>
        <w:t>4.3  256 种旋转组合精修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由于本问只有 4 个模块，每个模块仅有 4 种旋转状态，全部方向组合仅为 4⁴=256 种。利用问题规模很小这一特点，在 Global SA 得到较优 B*-Tree 拓扑后，固定该拓扑并枚举 256 种方向组合，从中选择面积最小、长宽比更优的方案，再进入 Local Polish。该步骤不改变总体优化算法，仅作为对少量旋转变量的精细搜索。</w:t>
      </w:r>
    </w:p>
    <w:p>
      <w:pPr>
        <w:pStyle w:val="Heading2"/>
        <w:keepNext/>
        <w:spacing w:before="100" w:after="40"/>
      </w:pPr>
      <w:r>
        <w:rPr>
          <w:rFonts w:ascii="Times New Roman" w:hAnsi="Times New Roman" w:eastAsia="黑体"/>
          <w:b/>
          <w:sz w:val="24"/>
        </w:rPr>
        <w:t>4.4  多随机种子验证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为避免单次模拟退火受到随机初始状态影响，采用 2026、2027、2028、42、1107 五个随机种子分别求解。若任一随机种子得到达到理论面积下界的合法布局，则可结合理论下界直接证明其为全局最优，而无需依赖启发式算法本身的全局最优保证。</w:t>
      </w: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5  计算结果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随机种子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最终轮廓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面积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长宽比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重叠模块对数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5×4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1.2500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2027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4×6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24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1.5000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2028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6×4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24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1.5000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42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4×5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1.2500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1107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4×6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24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1.5000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五个随机种子中，Seed=2026 与 Seed=42 均得到面积为 20 的合法布局。以 Seed=2026 的一组最优解为例，外包矩形尺寸为 5×4，面积为 20；模块之间不存在重叠，面积利用率达到 100%。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对应的一组模块状态为：b1 位于 (2,0)，旋转 270°；b2 位于 (0,2)，旋转 270°；b3 位于 (0,1)，旋转 0°；b4 位于 (0,0)，旋转 90°。</w:t>
      </w: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6  全局最优性证明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第四问与前三问最大的不同在于：该问题不仅可以通过启发式算法得到优秀解，而且能够利用面积下界对最终结果进行严格核验。由于四个模块的真实总面积为 20，任意无重叠布局必有：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sz w:val="22"/>
        </w:rPr>
        <w:t>A ≥ 20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而程序已经构造出无重叠的 5×4 合法布局，其外包矩形面积恰好为：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sz w:val="22"/>
        </w:rPr>
        <w:t>A = 5 × 4 = 20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因此理论下界与可行解上界完全重合：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sz w:val="22"/>
        </w:rPr>
        <w:t>20 ≤ A* ≤ 20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从而得到：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b w:val="0"/>
          <w:sz w:val="22"/>
        </w:rPr>
        <w:t>A* = 20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所以该布局为全局最优布局，最优面积利用率为 100%。这里的全局最优性并非由模拟退火算法本身保证，而是由“理论下界 + 达到下界的合法构造解”共同证明。</w:t>
      </w: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7  建模思维流程总结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sz w:val="22"/>
        </w:rPr>
        <w:t>1. 问题1矩形 HardBlock 模型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sz w:val="22"/>
        </w:rPr>
        <w:t>2. 保留 B*-Tree + Skyline + 模拟退火总体框架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sz w:val="22"/>
        </w:rPr>
        <w:t>3. L/T 型模块拆分为刚性矩形组合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sz w:val="22"/>
        </w:rPr>
        <w:t>4. 旋转状态扩展为 0°/90°/180°/270°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sz w:val="22"/>
        </w:rPr>
        <w:t>5. 普通 Skyline 修正为 Shape-aware Skyline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sz w:val="22"/>
        </w:rPr>
        <w:t>6. 矩形子块精确碰撞检测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sz w:val="22"/>
        </w:rPr>
        <w:t>7. Global SA 全局搜索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sz w:val="22"/>
        </w:rPr>
        <w:t>8. 4⁴=256 种旋转组合精修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sz w:val="22"/>
        </w:rPr>
        <w:t>9. Local Polish 局部优化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sz w:val="22"/>
        </w:rPr>
        <w:t>10. 五随机种子验证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sz w:val="22"/>
        </w:rPr>
        <w:t>11. 达到面积理论下界 20，证明全局最优</w:t>
      </w: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sz w:val="28"/>
        </w:rPr>
        <w:t>8  论文写作建议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第四问应突出“在问题1模型基础上的局部扩展”，不宜写成重新设计了一套独立算法。模型创新重点是异形模块的刚性矩形组合表示与 Shape-aware Skyline 解码；求解层面仍然沿用问题1 B*-Tree—模拟退火框架，仅利用 4 个模块的小规模特点加入 256 种旋转组合精修。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2"/>
        </w:rPr>
        <w:t>结果分析中应重点突出理论最优性：虽然不同随机种子可能得到面积 24 的局部最优解，但只要存在一个无重叠面积 20 的可行解，就已经达到模块总面积下界，因此可严格确定全局最优面积为 20。多随机种子主要用于展示算法搜索能力，而不再承担“证明最优”的作用。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>A题问题4 建模过程与思维说明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