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6"/>
          <w:szCs w:val="36"/>
          <w:lang w:val="en-US" w:eastAsia="zh-CN" w:bidi="ar"/>
        </w:rPr>
        <w:t>中国</w:t>
      </w:r>
      <w:r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哮喘患者在线登记数据库系统 </w:t>
      </w:r>
      <w:r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6"/>
          <w:szCs w:val="36"/>
          <w:lang w:val="en-US" w:eastAsia="zh-CN" w:bidi="ar"/>
        </w:rPr>
        <w:t>II 期项目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方正仿宋_GBK" w:hAnsi="方正仿宋_GBK" w:eastAsia="方正仿宋_GBK" w:cs="方正仿宋_GBK"/>
          <w:b/>
          <w:bCs/>
          <w:color w:val="000000"/>
          <w:kern w:val="0"/>
          <w:sz w:val="36"/>
          <w:szCs w:val="36"/>
          <w:lang w:val="en-US" w:eastAsia="zh-CN" w:bidi="ar"/>
        </w:rPr>
        <w:t>付款计划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本文件就“中国哮喘患者在线登记数据库系统 II 期项目”所涉及费用的付款时间、付款方式等进行说明。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数据录入人员费用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费用标准：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每例患者需要采集基线信息、两次随访信息。以 1 小时劳务费100元为标准整病例，需花费 3 小时，总计8000份病例。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费用总额：2592000元（含税）。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付款时间：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本费用以季度为节点，自 2023年7月开始，收集材料后发放。付款节点明细如下：</w:t>
      </w:r>
    </w:p>
    <w:tbl>
      <w:tblPr>
        <w:tblStyle w:val="3"/>
        <w:tblW w:w="71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vertAlign w:val="baseline"/>
                <w:lang w:val="en-US" w:eastAsia="zh-CN"/>
              </w:rPr>
              <w:t>付款节点</w:t>
            </w:r>
          </w:p>
        </w:tc>
        <w:tc>
          <w:tcPr>
            <w:tcW w:w="429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32"/>
                <w:vertAlign w:val="baseline"/>
                <w:lang w:val="en-US" w:eastAsia="zh-CN"/>
              </w:rPr>
              <w:t>付款内容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2023年7月</w:t>
            </w:r>
          </w:p>
        </w:tc>
        <w:tc>
          <w:tcPr>
            <w:tcW w:w="429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2023年6月及之前的数据录入人员劳务费用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2023年10月</w:t>
            </w:r>
          </w:p>
        </w:tc>
        <w:tc>
          <w:tcPr>
            <w:tcW w:w="429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2023年三季度数据录入人员劳务费用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依次类推</w:t>
            </w:r>
          </w:p>
        </w:tc>
        <w:tc>
          <w:tcPr>
            <w:tcW w:w="4292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vertAlign w:val="baseline"/>
                <w:lang w:val="en-US" w:eastAsia="zh-CN"/>
              </w:rPr>
              <w:t>依此类推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付款流程：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本费用通过灵活用工平台以临时用工方式发放。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由各项目经理负责本区域当期付款费用的统计归集，以及付款依据的收集，包含：证明阶段工作按要求完成的记录或文件、发放信息（姓名、身份证号、手机号、银行卡号等）。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由项目总负责人归集当期费用总额，在钉钉系统提交“费用预算申请”。通过后提交付款依据至人力资源部。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由人力资源部发起并对接付款。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参加单位负责人协调组织费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费用标准：</w:t>
      </w: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以每人 5000 元为标准，总计 111 家合作单位，每人一次性发放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费用总额：594000元（含税）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付款时间：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本费用以季度为节点，自 2023年7月开始付款，以分中心启动且数据录入人员开始工作、数据上传平台为标志。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付款流程：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同数据录入人员费用付款流程。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国内外专家咨询费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费用标准：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国内普通专家3000元、国内核心专家3500元、国际专家 10000元的劳务费用为标准，总计需要30名国内普通专家、10名国内核心专家、5名国际专家。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付款时间：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本费用以季度为节点，自 2023年7月开始付款，以与各个专家约定的工作内容完成为标志。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付款流程：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国内专家费用：同数据录入人员付款流程。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国外专家费用：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由第三方代收带入公司按照法律和税收政策要求进行付款。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由项目总负责人归集当期费用总额，在钉钉系统提交“费用预算申请”。通过后提交付款依据至人力资源部。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  <w:t>由人力资源部发起并对接付款。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仿宋" w:hAnsi="仿宋" w:eastAsia="仿宋" w:cs="仿宋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0AAB032B-04C5-4E6F-8C8E-A14BBA4E716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99C31DA8-CB30-43BB-B0FD-603FA8007DB8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87938D81-F01A-4EF6-87A3-A62FA68EE7A7}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公文黑体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24434"/>
    <w:multiLevelType w:val="singleLevel"/>
    <w:tmpl w:val="8E024434"/>
    <w:lvl w:ilvl="0" w:tentative="0">
      <w:start w:val="1"/>
      <w:numFmt w:val="chineseCounting"/>
      <w:suff w:val="nothing"/>
      <w:lvlText w:val="（%1）"/>
      <w:lvlJc w:val="left"/>
      <w:rPr>
        <w:rFonts w:hint="eastAsia"/>
        <w:b/>
        <w:bCs/>
      </w:rPr>
    </w:lvl>
  </w:abstractNum>
  <w:abstractNum w:abstractNumId="1">
    <w:nsid w:val="BE4193E1"/>
    <w:multiLevelType w:val="singleLevel"/>
    <w:tmpl w:val="BE4193E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AE7FA7"/>
    <w:multiLevelType w:val="singleLevel"/>
    <w:tmpl w:val="F4AE7F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8B4709E"/>
    <w:multiLevelType w:val="singleLevel"/>
    <w:tmpl w:val="08B4709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24FC93BD"/>
    <w:multiLevelType w:val="singleLevel"/>
    <w:tmpl w:val="24FC93B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27C214F7"/>
    <w:multiLevelType w:val="singleLevel"/>
    <w:tmpl w:val="27C214F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06275F"/>
    <w:multiLevelType w:val="singleLevel"/>
    <w:tmpl w:val="5E06275F"/>
    <w:lvl w:ilvl="0" w:tentative="0">
      <w:start w:val="1"/>
      <w:numFmt w:val="chineseCounting"/>
      <w:suff w:val="nothing"/>
      <w:lvlText w:val="%1、"/>
      <w:lvlJc w:val="left"/>
      <w:rPr>
        <w:rFonts w:hint="eastAsia" w:ascii="黑体" w:hAnsi="黑体" w:eastAsia="黑体" w:cs="黑体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2CEF34C6"/>
    <w:rsid w:val="40F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2023-03-07T02:35:41Z</dcterms:created>
  <dc:creator>l</dc:creator>
  <cp:lastModifiedBy>陆永慧</cp:lastModifiedBy>
  <dcterms:modified xsi:type="dcterms:W3CDTF">2023-03-07T05:58:57Z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A9D3CD29AE804AF7A9C1FF80EBCCD13F</vt:lpwstr>
  </property>
</Properties>
</file>