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2843" w14:textId="257AFEE1" w:rsidR="00D26849" w:rsidRPr="00577262" w:rsidRDefault="00FF5D53" w:rsidP="0049260C">
      <w:pPr>
        <w:pStyle w:val="Heading1"/>
        <w:jc w:val="center"/>
        <w:rPr>
          <w:rFonts w:ascii="Times New Roman" w:hAnsi="Times New Roman" w:cs="Times New Roman"/>
        </w:rPr>
      </w:pPr>
      <w:r w:rsidRPr="00577262">
        <w:rPr>
          <w:rFonts w:ascii="Times New Roman" w:hAnsi="Times New Roman" w:cs="Times New Roman"/>
        </w:rPr>
        <w:t>Clustering Analysis Documentation</w:t>
      </w:r>
    </w:p>
    <w:p w14:paraId="1E2D22A9" w14:textId="77777777" w:rsidR="00FF5D53" w:rsidRPr="00577262" w:rsidRDefault="00FF5D53">
      <w:pPr>
        <w:rPr>
          <w:rFonts w:ascii="Times New Roman" w:hAnsi="Times New Roman" w:cs="Times New Roman"/>
        </w:rPr>
      </w:pPr>
    </w:p>
    <w:p w14:paraId="11175B2A" w14:textId="19F2CCE1" w:rsidR="0049260C" w:rsidRPr="00577262" w:rsidRDefault="0049260C" w:rsidP="00577262">
      <w:pPr>
        <w:pStyle w:val="Heading2"/>
        <w:numPr>
          <w:ilvl w:val="0"/>
          <w:numId w:val="5"/>
        </w:numPr>
        <w:rPr>
          <w:rFonts w:ascii="Times New Roman" w:hAnsi="Times New Roman" w:cs="Times New Roman"/>
        </w:rPr>
      </w:pPr>
      <w:r w:rsidRPr="00577262">
        <w:rPr>
          <w:rFonts w:ascii="Times New Roman" w:hAnsi="Times New Roman" w:cs="Times New Roman"/>
        </w:rPr>
        <w:t>Objective of Clustering</w:t>
      </w:r>
    </w:p>
    <w:p w14:paraId="48110B30" w14:textId="77777777" w:rsidR="0049260C" w:rsidRPr="00577262" w:rsidRDefault="0049260C" w:rsidP="00B4178E">
      <w:pPr>
        <w:jc w:val="both"/>
        <w:rPr>
          <w:rFonts w:ascii="Times New Roman" w:hAnsi="Times New Roman" w:cs="Times New Roman"/>
        </w:rPr>
      </w:pPr>
      <w:r w:rsidRPr="00577262">
        <w:rPr>
          <w:rFonts w:ascii="Times New Roman" w:hAnsi="Times New Roman" w:cs="Times New Roman"/>
        </w:rPr>
        <w:t>The goal of the clustering analysis was to identify distinct customer segments based on demographic characteristics, service usage, contract type, and billing behaviour. These segments were then analysed to understand differences in churn propensity.</w:t>
      </w:r>
    </w:p>
    <w:p w14:paraId="50E6FB5D" w14:textId="29545499" w:rsidR="0049260C" w:rsidRPr="00577262" w:rsidRDefault="0049260C" w:rsidP="00577262">
      <w:pPr>
        <w:pStyle w:val="Heading2"/>
        <w:numPr>
          <w:ilvl w:val="0"/>
          <w:numId w:val="5"/>
        </w:numPr>
        <w:rPr>
          <w:rFonts w:ascii="Times New Roman" w:hAnsi="Times New Roman" w:cs="Times New Roman"/>
        </w:rPr>
      </w:pPr>
      <w:r w:rsidRPr="00577262">
        <w:rPr>
          <w:rFonts w:ascii="Times New Roman" w:hAnsi="Times New Roman" w:cs="Times New Roman"/>
        </w:rPr>
        <w:t>Determining the Optimal Number of Clusters</w:t>
      </w:r>
    </w:p>
    <w:p w14:paraId="48461133" w14:textId="77777777" w:rsidR="0049260C" w:rsidRPr="00577262" w:rsidRDefault="0049260C" w:rsidP="0049260C">
      <w:pPr>
        <w:rPr>
          <w:rFonts w:ascii="Times New Roman" w:hAnsi="Times New Roman" w:cs="Times New Roman"/>
          <w:b/>
          <w:bCs/>
        </w:rPr>
      </w:pPr>
      <w:r w:rsidRPr="00577262">
        <w:rPr>
          <w:rFonts w:ascii="Times New Roman" w:hAnsi="Times New Roman" w:cs="Times New Roman"/>
          <w:b/>
          <w:bCs/>
        </w:rPr>
        <w:t>Elbow Method</w:t>
      </w:r>
    </w:p>
    <w:p w14:paraId="430EB961" w14:textId="77777777" w:rsidR="0049260C" w:rsidRPr="00577262" w:rsidRDefault="0049260C" w:rsidP="0049260C">
      <w:pPr>
        <w:rPr>
          <w:rFonts w:ascii="Times New Roman" w:hAnsi="Times New Roman" w:cs="Times New Roman"/>
        </w:rPr>
      </w:pPr>
      <w:r w:rsidRPr="00577262">
        <w:rPr>
          <w:rFonts w:ascii="Times New Roman" w:hAnsi="Times New Roman" w:cs="Times New Roman"/>
        </w:rPr>
        <w:t>The Elbow Method was applied by fitting K-Means models with varying numbers of clusters (K = 1 to 9) and plotting the inertia values. Inertia measures within-cluster compactness.</w:t>
      </w:r>
    </w:p>
    <w:p w14:paraId="26EA8EA3" w14:textId="77777777" w:rsidR="0049260C" w:rsidRPr="00577262" w:rsidRDefault="0049260C" w:rsidP="0049260C">
      <w:pPr>
        <w:rPr>
          <w:rFonts w:ascii="Times New Roman" w:hAnsi="Times New Roman" w:cs="Times New Roman"/>
        </w:rPr>
      </w:pPr>
      <w:r w:rsidRPr="00577262">
        <w:rPr>
          <w:rFonts w:ascii="Times New Roman" w:hAnsi="Times New Roman" w:cs="Times New Roman"/>
        </w:rPr>
        <w:t>The plot exhibited a noticeable reduction in inertia up to K = 5, after which improvements diminished. This indicates that five clusters provide a reasonable balance between model complexity and explanatory power.</w:t>
      </w:r>
    </w:p>
    <w:p w14:paraId="66DC0D2A" w14:textId="7ED41686" w:rsidR="006F47B2" w:rsidRPr="00577262" w:rsidRDefault="006F47B2" w:rsidP="0049260C">
      <w:pPr>
        <w:rPr>
          <w:rFonts w:ascii="Times New Roman" w:hAnsi="Times New Roman" w:cs="Times New Roman"/>
        </w:rPr>
      </w:pPr>
      <w:r w:rsidRPr="00577262">
        <w:rPr>
          <w:rFonts w:ascii="Times New Roman" w:hAnsi="Times New Roman" w:cs="Times New Roman"/>
          <w:noProof/>
        </w:rPr>
        <w:drawing>
          <wp:inline distT="0" distB="0" distL="0" distR="0" wp14:anchorId="3EB45B41" wp14:editId="07F79974">
            <wp:extent cx="5288077" cy="3730878"/>
            <wp:effectExtent l="0" t="0" r="8255" b="3175"/>
            <wp:docPr id="7806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6433" cy="3750884"/>
                    </a:xfrm>
                    <a:prstGeom prst="rect">
                      <a:avLst/>
                    </a:prstGeom>
                    <a:noFill/>
                    <a:ln>
                      <a:noFill/>
                    </a:ln>
                  </pic:spPr>
                </pic:pic>
              </a:graphicData>
            </a:graphic>
          </wp:inline>
        </w:drawing>
      </w:r>
    </w:p>
    <w:p w14:paraId="0F6ED93C" w14:textId="77777777" w:rsidR="0049260C" w:rsidRPr="00577262" w:rsidRDefault="0049260C" w:rsidP="0049260C">
      <w:pPr>
        <w:rPr>
          <w:rFonts w:ascii="Times New Roman" w:hAnsi="Times New Roman" w:cs="Times New Roman"/>
          <w:b/>
          <w:bCs/>
        </w:rPr>
      </w:pPr>
      <w:r w:rsidRPr="00577262">
        <w:rPr>
          <w:rFonts w:ascii="Times New Roman" w:hAnsi="Times New Roman" w:cs="Times New Roman"/>
          <w:b/>
          <w:bCs/>
        </w:rPr>
        <w:t>Silhouette Score Validation</w:t>
      </w:r>
    </w:p>
    <w:p w14:paraId="2A909A5B" w14:textId="77777777" w:rsidR="0049260C" w:rsidRDefault="0049260C" w:rsidP="0049260C">
      <w:pPr>
        <w:rPr>
          <w:rFonts w:ascii="Times New Roman" w:hAnsi="Times New Roman" w:cs="Times New Roman"/>
        </w:rPr>
      </w:pPr>
      <w:r w:rsidRPr="00577262">
        <w:rPr>
          <w:rFonts w:ascii="Times New Roman" w:hAnsi="Times New Roman" w:cs="Times New Roman"/>
        </w:rPr>
        <w:t>To validate the chosen number of clusters, Silhouette Scores were calculated for K = 3, 4, and 5. The highest silhouette score was observed at K = 5, confirming that this configuration produced better-defined and more cohesive clusters.</w:t>
      </w:r>
    </w:p>
    <w:p w14:paraId="297423F6" w14:textId="40C6B422" w:rsidR="007A67AA" w:rsidRPr="00577262" w:rsidRDefault="007A67AA" w:rsidP="0049260C">
      <w:pPr>
        <w:rPr>
          <w:rFonts w:ascii="Times New Roman" w:hAnsi="Times New Roman" w:cs="Times New Roman"/>
        </w:rPr>
      </w:pPr>
      <w:r w:rsidRPr="007A67AA">
        <w:rPr>
          <w:rFonts w:ascii="Times New Roman" w:hAnsi="Times New Roman" w:cs="Times New Roman"/>
        </w:rPr>
        <w:drawing>
          <wp:inline distT="0" distB="0" distL="0" distR="0" wp14:anchorId="732461E7" wp14:editId="55CCC457">
            <wp:extent cx="2438418" cy="581029"/>
            <wp:effectExtent l="0" t="0" r="0" b="9525"/>
            <wp:docPr id="181789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94932" name=""/>
                    <pic:cNvPicPr/>
                  </pic:nvPicPr>
                  <pic:blipFill>
                    <a:blip r:embed="rId6"/>
                    <a:stretch>
                      <a:fillRect/>
                    </a:stretch>
                  </pic:blipFill>
                  <pic:spPr>
                    <a:xfrm>
                      <a:off x="0" y="0"/>
                      <a:ext cx="2438418" cy="581029"/>
                    </a:xfrm>
                    <a:prstGeom prst="rect">
                      <a:avLst/>
                    </a:prstGeom>
                  </pic:spPr>
                </pic:pic>
              </a:graphicData>
            </a:graphic>
          </wp:inline>
        </w:drawing>
      </w:r>
    </w:p>
    <w:p w14:paraId="087E5A72" w14:textId="11082F6C" w:rsidR="0049260C" w:rsidRPr="00577262" w:rsidRDefault="0049260C" w:rsidP="00577262">
      <w:pPr>
        <w:pStyle w:val="Heading2"/>
        <w:numPr>
          <w:ilvl w:val="0"/>
          <w:numId w:val="5"/>
        </w:numPr>
        <w:rPr>
          <w:rFonts w:ascii="Times New Roman" w:hAnsi="Times New Roman" w:cs="Times New Roman"/>
        </w:rPr>
      </w:pPr>
      <w:r w:rsidRPr="00577262">
        <w:rPr>
          <w:rFonts w:ascii="Times New Roman" w:hAnsi="Times New Roman" w:cs="Times New Roman"/>
        </w:rPr>
        <w:lastRenderedPageBreak/>
        <w:t>K-Means Model Training</w:t>
      </w:r>
    </w:p>
    <w:p w14:paraId="167D18C1" w14:textId="56EF7262" w:rsidR="006F47B2" w:rsidRPr="00577262" w:rsidRDefault="0049260C" w:rsidP="0049260C">
      <w:pPr>
        <w:rPr>
          <w:rFonts w:ascii="Times New Roman" w:hAnsi="Times New Roman" w:cs="Times New Roman"/>
        </w:rPr>
      </w:pPr>
      <w:r w:rsidRPr="00577262">
        <w:rPr>
          <w:rFonts w:ascii="Times New Roman" w:hAnsi="Times New Roman" w:cs="Times New Roman"/>
        </w:rPr>
        <w:t>Using the optimal number of clusters (K = 5), a K-Means clustering model was trained on the scaled feature set. Each customer was assigned a cluster label representing their segment membership.</w:t>
      </w:r>
      <w:r w:rsidR="006F47B2" w:rsidRPr="00577262">
        <w:rPr>
          <w:rFonts w:ascii="Times New Roman" w:hAnsi="Times New Roman" w:cs="Times New Roman"/>
        </w:rPr>
        <w:t xml:space="preserve"> The resulting cluster labels </w:t>
      </w:r>
      <w:r w:rsidR="006F47B2" w:rsidRPr="00577262">
        <w:rPr>
          <w:rFonts w:ascii="Times New Roman" w:hAnsi="Times New Roman" w:cs="Times New Roman"/>
        </w:rPr>
        <w:t xml:space="preserve">were </w:t>
      </w:r>
      <w:r w:rsidR="006F47B2" w:rsidRPr="00577262">
        <w:rPr>
          <w:rFonts w:ascii="Times New Roman" w:hAnsi="Times New Roman" w:cs="Times New Roman"/>
        </w:rPr>
        <w:t>added</w:t>
      </w:r>
      <w:r w:rsidR="006F47B2" w:rsidRPr="00577262">
        <w:rPr>
          <w:rFonts w:ascii="Times New Roman" w:hAnsi="Times New Roman" w:cs="Times New Roman"/>
        </w:rPr>
        <w:t xml:space="preserve"> to the dataset for further analysis</w:t>
      </w:r>
      <w:r w:rsidR="006F47B2" w:rsidRPr="00577262">
        <w:rPr>
          <w:rFonts w:ascii="Times New Roman" w:hAnsi="Times New Roman" w:cs="Times New Roman"/>
        </w:rPr>
        <w:t>.</w:t>
      </w:r>
    </w:p>
    <w:p w14:paraId="72798EBC" w14:textId="140A2275" w:rsidR="0049260C" w:rsidRPr="00577262" w:rsidRDefault="0049260C" w:rsidP="00577262">
      <w:pPr>
        <w:pStyle w:val="Heading2"/>
        <w:numPr>
          <w:ilvl w:val="0"/>
          <w:numId w:val="5"/>
        </w:numPr>
        <w:rPr>
          <w:rFonts w:ascii="Times New Roman" w:hAnsi="Times New Roman" w:cs="Times New Roman"/>
        </w:rPr>
      </w:pPr>
      <w:r w:rsidRPr="00577262">
        <w:rPr>
          <w:rFonts w:ascii="Times New Roman" w:hAnsi="Times New Roman" w:cs="Times New Roman"/>
        </w:rPr>
        <w:t>Cluster Profiling and Interpretation</w:t>
      </w:r>
    </w:p>
    <w:p w14:paraId="3F63925C" w14:textId="0D3AD11C" w:rsidR="0049260C" w:rsidRPr="00577262" w:rsidRDefault="00577262" w:rsidP="0049260C">
      <w:pPr>
        <w:rPr>
          <w:rFonts w:ascii="Times New Roman" w:hAnsi="Times New Roman" w:cs="Times New Roman"/>
        </w:rPr>
      </w:pPr>
      <w:r w:rsidRPr="00577262">
        <w:rPr>
          <w:rFonts w:ascii="Times New Roman" w:hAnsi="Times New Roman" w:cs="Times New Roman"/>
        </w:rPr>
        <w:t>Cluster profiling was performed by calculating mean values of features for each cluster and analysing average churn rates. The analysis revealed meaningful differences across clusters, particularly in:</w:t>
      </w:r>
    </w:p>
    <w:p w14:paraId="69F2ABD6" w14:textId="77777777" w:rsidR="0049260C" w:rsidRPr="00577262" w:rsidRDefault="0049260C" w:rsidP="0049260C">
      <w:pPr>
        <w:pStyle w:val="ListParagraph"/>
        <w:numPr>
          <w:ilvl w:val="0"/>
          <w:numId w:val="1"/>
        </w:numPr>
        <w:spacing w:after="0"/>
        <w:rPr>
          <w:rFonts w:ascii="Times New Roman" w:hAnsi="Times New Roman" w:cs="Times New Roman"/>
        </w:rPr>
      </w:pPr>
      <w:r w:rsidRPr="00577262">
        <w:rPr>
          <w:rFonts w:ascii="Times New Roman" w:hAnsi="Times New Roman" w:cs="Times New Roman"/>
        </w:rPr>
        <w:t>Tenure</w:t>
      </w:r>
    </w:p>
    <w:p w14:paraId="1DB71779" w14:textId="77777777" w:rsidR="0049260C" w:rsidRPr="00577262" w:rsidRDefault="0049260C" w:rsidP="0049260C">
      <w:pPr>
        <w:pStyle w:val="ListParagraph"/>
        <w:numPr>
          <w:ilvl w:val="0"/>
          <w:numId w:val="1"/>
        </w:numPr>
        <w:spacing w:after="0"/>
        <w:rPr>
          <w:rFonts w:ascii="Times New Roman" w:hAnsi="Times New Roman" w:cs="Times New Roman"/>
        </w:rPr>
      </w:pPr>
      <w:r w:rsidRPr="00577262">
        <w:rPr>
          <w:rFonts w:ascii="Times New Roman" w:hAnsi="Times New Roman" w:cs="Times New Roman"/>
        </w:rPr>
        <w:t>Contract duration</w:t>
      </w:r>
    </w:p>
    <w:p w14:paraId="140C318F" w14:textId="77777777" w:rsidR="0049260C" w:rsidRPr="00577262" w:rsidRDefault="0049260C" w:rsidP="0049260C">
      <w:pPr>
        <w:pStyle w:val="ListParagraph"/>
        <w:numPr>
          <w:ilvl w:val="0"/>
          <w:numId w:val="1"/>
        </w:numPr>
        <w:spacing w:after="0"/>
        <w:rPr>
          <w:rFonts w:ascii="Times New Roman" w:hAnsi="Times New Roman" w:cs="Times New Roman"/>
        </w:rPr>
      </w:pPr>
      <w:r w:rsidRPr="00577262">
        <w:rPr>
          <w:rFonts w:ascii="Times New Roman" w:hAnsi="Times New Roman" w:cs="Times New Roman"/>
        </w:rPr>
        <w:t>Internet service type</w:t>
      </w:r>
    </w:p>
    <w:p w14:paraId="32D6020F" w14:textId="77777777" w:rsidR="0049260C" w:rsidRPr="00577262" w:rsidRDefault="0049260C" w:rsidP="0049260C">
      <w:pPr>
        <w:pStyle w:val="ListParagraph"/>
        <w:numPr>
          <w:ilvl w:val="0"/>
          <w:numId w:val="1"/>
        </w:numPr>
        <w:spacing w:after="0"/>
        <w:rPr>
          <w:rFonts w:ascii="Times New Roman" w:hAnsi="Times New Roman" w:cs="Times New Roman"/>
        </w:rPr>
      </w:pPr>
      <w:r w:rsidRPr="00577262">
        <w:rPr>
          <w:rFonts w:ascii="Times New Roman" w:hAnsi="Times New Roman" w:cs="Times New Roman"/>
        </w:rPr>
        <w:t>Senior citizen status</w:t>
      </w:r>
    </w:p>
    <w:p w14:paraId="5719BB63" w14:textId="77777777" w:rsidR="0049260C" w:rsidRDefault="0049260C" w:rsidP="0049260C">
      <w:pPr>
        <w:pStyle w:val="ListParagraph"/>
        <w:numPr>
          <w:ilvl w:val="0"/>
          <w:numId w:val="1"/>
        </w:numPr>
        <w:rPr>
          <w:rFonts w:ascii="Times New Roman" w:hAnsi="Times New Roman" w:cs="Times New Roman"/>
        </w:rPr>
      </w:pPr>
      <w:r w:rsidRPr="00577262">
        <w:rPr>
          <w:rFonts w:ascii="Times New Roman" w:hAnsi="Times New Roman" w:cs="Times New Roman"/>
        </w:rPr>
        <w:t>Churn likelihood</w:t>
      </w:r>
    </w:p>
    <w:p w14:paraId="1D95F541" w14:textId="282AE2D3" w:rsidR="003C1F6F" w:rsidRPr="003C1F6F" w:rsidRDefault="003C1F6F" w:rsidP="003C1F6F">
      <w:pPr>
        <w:ind w:left="360"/>
        <w:rPr>
          <w:rFonts w:ascii="Times New Roman" w:hAnsi="Times New Roman" w:cs="Times New Roman"/>
        </w:rPr>
      </w:pPr>
      <w:r w:rsidRPr="003C1F6F">
        <w:rPr>
          <w:rFonts w:ascii="Times New Roman" w:hAnsi="Times New Roman" w:cs="Times New Roman"/>
        </w:rPr>
        <w:drawing>
          <wp:inline distT="0" distB="0" distL="0" distR="0" wp14:anchorId="104C8FCC" wp14:editId="1116B306">
            <wp:extent cx="5731510" cy="864870"/>
            <wp:effectExtent l="0" t="0" r="2540" b="0"/>
            <wp:docPr id="159132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26962" name=""/>
                    <pic:cNvPicPr/>
                  </pic:nvPicPr>
                  <pic:blipFill>
                    <a:blip r:embed="rId7"/>
                    <a:stretch>
                      <a:fillRect/>
                    </a:stretch>
                  </pic:blipFill>
                  <pic:spPr>
                    <a:xfrm>
                      <a:off x="0" y="0"/>
                      <a:ext cx="5731510" cy="864870"/>
                    </a:xfrm>
                    <a:prstGeom prst="rect">
                      <a:avLst/>
                    </a:prstGeom>
                  </pic:spPr>
                </pic:pic>
              </a:graphicData>
            </a:graphic>
          </wp:inline>
        </w:drawing>
      </w:r>
    </w:p>
    <w:p w14:paraId="113698D0" w14:textId="5EB40CA3" w:rsidR="0049260C" w:rsidRPr="00577262" w:rsidRDefault="004B4E35" w:rsidP="004B4E35">
      <w:pPr>
        <w:rPr>
          <w:rFonts w:ascii="Times New Roman" w:hAnsi="Times New Roman" w:cs="Times New Roman"/>
        </w:rPr>
      </w:pPr>
      <w:r w:rsidRPr="004B4E35">
        <w:rPr>
          <w:rFonts w:ascii="Times New Roman" w:hAnsi="Times New Roman" w:cs="Times New Roman"/>
        </w:rPr>
        <w:t>Although overall churn is moderate, Cluster 4 contributes disproportionately to churn, indicating that targeted senior-focused retention strategies could significantly reduce total churn.</w:t>
      </w:r>
    </w:p>
    <w:p w14:paraId="769120DA" w14:textId="1EF3FCB2" w:rsidR="0049260C" w:rsidRPr="00577262" w:rsidRDefault="0049260C" w:rsidP="00577262">
      <w:pPr>
        <w:pStyle w:val="Heading2"/>
        <w:numPr>
          <w:ilvl w:val="0"/>
          <w:numId w:val="5"/>
        </w:numPr>
        <w:rPr>
          <w:rFonts w:ascii="Times New Roman" w:hAnsi="Times New Roman" w:cs="Times New Roman"/>
        </w:rPr>
      </w:pPr>
      <w:r w:rsidRPr="00577262">
        <w:rPr>
          <w:rFonts w:ascii="Times New Roman" w:hAnsi="Times New Roman" w:cs="Times New Roman"/>
        </w:rPr>
        <w:t>Cluster Visualisation</w:t>
      </w:r>
    </w:p>
    <w:p w14:paraId="38A63B5D" w14:textId="77777777" w:rsidR="0049260C" w:rsidRPr="00577262" w:rsidRDefault="0049260C" w:rsidP="0049260C">
      <w:pPr>
        <w:rPr>
          <w:rFonts w:ascii="Times New Roman" w:hAnsi="Times New Roman" w:cs="Times New Roman"/>
        </w:rPr>
      </w:pPr>
      <w:r w:rsidRPr="00577262">
        <w:rPr>
          <w:rFonts w:ascii="Times New Roman" w:hAnsi="Times New Roman" w:cs="Times New Roman"/>
        </w:rPr>
        <w:t>Multiple visualisation techniques were used to enhance interpretability:</w:t>
      </w:r>
    </w:p>
    <w:p w14:paraId="5C40357A" w14:textId="77777777" w:rsidR="0049260C" w:rsidRPr="00577262" w:rsidRDefault="0049260C" w:rsidP="0049260C">
      <w:pPr>
        <w:rPr>
          <w:rFonts w:ascii="Times New Roman" w:hAnsi="Times New Roman" w:cs="Times New Roman"/>
          <w:b/>
          <w:bCs/>
        </w:rPr>
      </w:pPr>
      <w:r w:rsidRPr="00577262">
        <w:rPr>
          <w:rFonts w:ascii="Times New Roman" w:hAnsi="Times New Roman" w:cs="Times New Roman"/>
          <w:b/>
          <w:bCs/>
        </w:rPr>
        <w:t>Churn Rate by Cluster</w:t>
      </w:r>
    </w:p>
    <w:p w14:paraId="17974E8F" w14:textId="21F950A6" w:rsidR="001752FB" w:rsidRPr="00775017" w:rsidRDefault="0049260C" w:rsidP="0049260C">
      <w:pPr>
        <w:rPr>
          <w:rFonts w:ascii="Times New Roman" w:hAnsi="Times New Roman" w:cs="Times New Roman"/>
        </w:rPr>
      </w:pPr>
      <w:r w:rsidRPr="00577262">
        <w:rPr>
          <w:rFonts w:ascii="Times New Roman" w:hAnsi="Times New Roman" w:cs="Times New Roman"/>
        </w:rPr>
        <w:t>A bar chart was used to compare churn rates across clusters, clearly highlighting high-risk and low-risk customer segments.</w:t>
      </w:r>
      <w:r w:rsidR="00577262" w:rsidRPr="00577262">
        <w:rPr>
          <w:rFonts w:ascii="Times New Roman" w:hAnsi="Times New Roman" w:cs="Times New Roman"/>
          <w:noProof/>
        </w:rPr>
        <w:drawing>
          <wp:inline distT="0" distB="0" distL="0" distR="0" wp14:anchorId="1A95D9A3" wp14:editId="0E12B847">
            <wp:extent cx="4686300" cy="3518619"/>
            <wp:effectExtent l="0" t="0" r="0" b="5715"/>
            <wp:docPr id="58986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611" cy="3525610"/>
                    </a:xfrm>
                    <a:prstGeom prst="rect">
                      <a:avLst/>
                    </a:prstGeom>
                    <a:noFill/>
                    <a:ln>
                      <a:noFill/>
                    </a:ln>
                  </pic:spPr>
                </pic:pic>
              </a:graphicData>
            </a:graphic>
          </wp:inline>
        </w:drawing>
      </w:r>
    </w:p>
    <w:p w14:paraId="72E56C9D" w14:textId="77777777" w:rsidR="001752FB" w:rsidRDefault="001752FB" w:rsidP="0049260C">
      <w:pPr>
        <w:rPr>
          <w:rFonts w:ascii="Times New Roman" w:hAnsi="Times New Roman" w:cs="Times New Roman"/>
          <w:b/>
          <w:bCs/>
        </w:rPr>
      </w:pPr>
    </w:p>
    <w:p w14:paraId="75E1C317" w14:textId="22AD716F" w:rsidR="0049260C" w:rsidRPr="00577262" w:rsidRDefault="0049260C" w:rsidP="0049260C">
      <w:pPr>
        <w:rPr>
          <w:rFonts w:ascii="Times New Roman" w:hAnsi="Times New Roman" w:cs="Times New Roman"/>
          <w:b/>
          <w:bCs/>
        </w:rPr>
      </w:pPr>
      <w:r w:rsidRPr="00577262">
        <w:rPr>
          <w:rFonts w:ascii="Times New Roman" w:hAnsi="Times New Roman" w:cs="Times New Roman"/>
          <w:b/>
          <w:bCs/>
        </w:rPr>
        <w:t>Cluster Size Distribution</w:t>
      </w:r>
    </w:p>
    <w:p w14:paraId="7506F92E" w14:textId="77777777" w:rsidR="001752FB" w:rsidRDefault="001752FB" w:rsidP="0049260C">
      <w:pPr>
        <w:rPr>
          <w:rFonts w:ascii="Times New Roman" w:hAnsi="Times New Roman" w:cs="Times New Roman"/>
        </w:rPr>
      </w:pPr>
    </w:p>
    <w:p w14:paraId="30B923FC" w14:textId="2856D3C1" w:rsidR="001752FB" w:rsidRDefault="001752FB" w:rsidP="0049260C">
      <w:pPr>
        <w:rPr>
          <w:rFonts w:ascii="Times New Roman" w:hAnsi="Times New Roman" w:cs="Times New Roman"/>
        </w:rPr>
      </w:pPr>
      <w:r>
        <w:rPr>
          <w:noProof/>
        </w:rPr>
        <w:drawing>
          <wp:inline distT="0" distB="0" distL="0" distR="0" wp14:anchorId="4EF08001" wp14:editId="76E2E67C">
            <wp:extent cx="5731510" cy="4298950"/>
            <wp:effectExtent l="0" t="0" r="2540" b="6350"/>
            <wp:docPr id="1783436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1062E35" w14:textId="2792404A" w:rsidR="0049260C" w:rsidRPr="00577262" w:rsidRDefault="0049260C" w:rsidP="0049260C">
      <w:pPr>
        <w:rPr>
          <w:rFonts w:ascii="Times New Roman" w:hAnsi="Times New Roman" w:cs="Times New Roman"/>
        </w:rPr>
      </w:pPr>
      <w:r w:rsidRPr="00577262">
        <w:rPr>
          <w:rFonts w:ascii="Times New Roman" w:hAnsi="Times New Roman" w:cs="Times New Roman"/>
        </w:rPr>
        <w:t>A bar chart illustrated the number of customers within each cluster, providing insight into segment proportions and business impact.</w:t>
      </w:r>
    </w:p>
    <w:p w14:paraId="152793FA" w14:textId="77777777" w:rsidR="0049260C" w:rsidRPr="00577262" w:rsidRDefault="0049260C" w:rsidP="0049260C">
      <w:pPr>
        <w:rPr>
          <w:rFonts w:ascii="Times New Roman" w:hAnsi="Times New Roman" w:cs="Times New Roman"/>
          <w:b/>
          <w:bCs/>
        </w:rPr>
      </w:pPr>
      <w:r w:rsidRPr="00577262">
        <w:rPr>
          <w:rFonts w:ascii="Times New Roman" w:hAnsi="Times New Roman" w:cs="Times New Roman"/>
          <w:b/>
          <w:bCs/>
        </w:rPr>
        <w:t>PCA-Based Cluster Segmentation</w:t>
      </w:r>
    </w:p>
    <w:p w14:paraId="2A64A6E1" w14:textId="77777777" w:rsidR="0049260C" w:rsidRPr="00577262" w:rsidRDefault="0049260C" w:rsidP="0049260C">
      <w:pPr>
        <w:rPr>
          <w:rFonts w:ascii="Times New Roman" w:hAnsi="Times New Roman" w:cs="Times New Roman"/>
        </w:rPr>
      </w:pPr>
      <w:r w:rsidRPr="00577262">
        <w:rPr>
          <w:rFonts w:ascii="Times New Roman" w:hAnsi="Times New Roman" w:cs="Times New Roman"/>
        </w:rPr>
        <w:t>Principal Component Analysis (PCA) reduced the high-dimensional feature space into two dimensions. A scatter plot was created to visualise cluster separation, with:</w:t>
      </w:r>
    </w:p>
    <w:p w14:paraId="7262BD08" w14:textId="77777777" w:rsidR="0049260C" w:rsidRPr="00577262" w:rsidRDefault="0049260C" w:rsidP="00DC3CA7">
      <w:pPr>
        <w:pStyle w:val="ListParagraph"/>
        <w:numPr>
          <w:ilvl w:val="0"/>
          <w:numId w:val="3"/>
        </w:numPr>
        <w:spacing w:after="0"/>
        <w:rPr>
          <w:rFonts w:ascii="Times New Roman" w:hAnsi="Times New Roman" w:cs="Times New Roman"/>
        </w:rPr>
      </w:pPr>
      <w:r w:rsidRPr="00577262">
        <w:rPr>
          <w:rFonts w:ascii="Times New Roman" w:hAnsi="Times New Roman" w:cs="Times New Roman"/>
        </w:rPr>
        <w:t>Each point representing a customer</w:t>
      </w:r>
    </w:p>
    <w:p w14:paraId="50FADE0E" w14:textId="77777777" w:rsidR="0049260C" w:rsidRPr="00577262" w:rsidRDefault="0049260C" w:rsidP="00DC3CA7">
      <w:pPr>
        <w:pStyle w:val="ListParagraph"/>
        <w:numPr>
          <w:ilvl w:val="0"/>
          <w:numId w:val="3"/>
        </w:numPr>
        <w:spacing w:after="0"/>
        <w:rPr>
          <w:rFonts w:ascii="Times New Roman" w:hAnsi="Times New Roman" w:cs="Times New Roman"/>
        </w:rPr>
      </w:pPr>
      <w:r w:rsidRPr="00577262">
        <w:rPr>
          <w:rFonts w:ascii="Times New Roman" w:hAnsi="Times New Roman" w:cs="Times New Roman"/>
        </w:rPr>
        <w:t>Colour indicating cluster membership</w:t>
      </w:r>
    </w:p>
    <w:p w14:paraId="4325AC8E" w14:textId="77777777" w:rsidR="0049260C" w:rsidRPr="00577262" w:rsidRDefault="0049260C" w:rsidP="00DC3CA7">
      <w:pPr>
        <w:pStyle w:val="ListParagraph"/>
        <w:numPr>
          <w:ilvl w:val="0"/>
          <w:numId w:val="3"/>
        </w:numPr>
        <w:rPr>
          <w:rFonts w:ascii="Times New Roman" w:hAnsi="Times New Roman" w:cs="Times New Roman"/>
        </w:rPr>
      </w:pPr>
      <w:r w:rsidRPr="00577262">
        <w:rPr>
          <w:rFonts w:ascii="Times New Roman" w:hAnsi="Times New Roman" w:cs="Times New Roman"/>
        </w:rPr>
        <w:t>A legend included on the same figure for clarity</w:t>
      </w:r>
    </w:p>
    <w:p w14:paraId="1056B81F" w14:textId="63667289" w:rsidR="00577262" w:rsidRPr="00577262" w:rsidRDefault="00577262" w:rsidP="00577262">
      <w:pPr>
        <w:ind w:left="360"/>
        <w:rPr>
          <w:rFonts w:ascii="Times New Roman" w:hAnsi="Times New Roman" w:cs="Times New Roman"/>
        </w:rPr>
      </w:pPr>
      <w:r w:rsidRPr="00577262">
        <w:rPr>
          <w:rFonts w:ascii="Times New Roman" w:hAnsi="Times New Roman" w:cs="Times New Roman"/>
          <w:noProof/>
        </w:rPr>
        <w:lastRenderedPageBreak/>
        <w:drawing>
          <wp:inline distT="0" distB="0" distL="0" distR="0" wp14:anchorId="69E21EE8" wp14:editId="7A58EF57">
            <wp:extent cx="5731510" cy="4298950"/>
            <wp:effectExtent l="0" t="0" r="2540" b="6350"/>
            <wp:docPr id="1318591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759ABE4" w14:textId="77777777" w:rsidR="0049260C" w:rsidRPr="00577262" w:rsidRDefault="0049260C" w:rsidP="0049260C">
      <w:pPr>
        <w:rPr>
          <w:rFonts w:ascii="Times New Roman" w:hAnsi="Times New Roman" w:cs="Times New Roman"/>
        </w:rPr>
      </w:pPr>
      <w:r w:rsidRPr="00577262">
        <w:rPr>
          <w:rFonts w:ascii="Times New Roman" w:hAnsi="Times New Roman" w:cs="Times New Roman"/>
        </w:rPr>
        <w:t>This visualisation confirmed that the clusters formed meaningful groupings in reduced-dimensional space.</w:t>
      </w:r>
    </w:p>
    <w:p w14:paraId="2B476C61" w14:textId="6B02BFE2" w:rsidR="006F47B2" w:rsidRPr="00577262" w:rsidRDefault="006F47B2" w:rsidP="00577262">
      <w:pPr>
        <w:pStyle w:val="Heading2"/>
        <w:numPr>
          <w:ilvl w:val="0"/>
          <w:numId w:val="5"/>
        </w:numPr>
        <w:rPr>
          <w:rFonts w:ascii="Times New Roman" w:hAnsi="Times New Roman" w:cs="Times New Roman"/>
        </w:rPr>
      </w:pPr>
      <w:r w:rsidRPr="00577262">
        <w:rPr>
          <w:rFonts w:ascii="Times New Roman" w:hAnsi="Times New Roman" w:cs="Times New Roman"/>
        </w:rPr>
        <w:t>S</w:t>
      </w:r>
      <w:r w:rsidRPr="00577262">
        <w:rPr>
          <w:rFonts w:ascii="Times New Roman" w:hAnsi="Times New Roman" w:cs="Times New Roman"/>
        </w:rPr>
        <w:t>ummary of Clustering Outcomes</w:t>
      </w:r>
    </w:p>
    <w:p w14:paraId="093BD534" w14:textId="321590E4" w:rsidR="006F47B2" w:rsidRPr="00577262" w:rsidRDefault="004B4E35" w:rsidP="004B4E35">
      <w:pPr>
        <w:jc w:val="both"/>
        <w:rPr>
          <w:rFonts w:ascii="Times New Roman" w:hAnsi="Times New Roman" w:cs="Times New Roman"/>
        </w:rPr>
      </w:pPr>
      <w:r w:rsidRPr="004B4E35">
        <w:rPr>
          <w:rFonts w:ascii="Times New Roman" w:hAnsi="Times New Roman" w:cs="Times New Roman"/>
        </w:rPr>
        <w:t>The clustering analysis successfully identified five distinct customer segments with meaningful differences in demographic composition, service usage, contract type, and churn behaviour. Notably, customers on long-term contracts and those with stable service usage patterns demonstrated lower churn likelihood, while senior customer segments and customers with less stable contractual arrangements exhibited higher churn risk.</w:t>
      </w:r>
      <w:r>
        <w:rPr>
          <w:rFonts w:ascii="Times New Roman" w:hAnsi="Times New Roman" w:cs="Times New Roman"/>
        </w:rPr>
        <w:t xml:space="preserve"> </w:t>
      </w:r>
      <w:r w:rsidRPr="004B4E35">
        <w:rPr>
          <w:rFonts w:ascii="Times New Roman" w:hAnsi="Times New Roman" w:cs="Times New Roman"/>
        </w:rPr>
        <w:t>These insights provide a strong foundation for developing targeted customer retention strategies and data-driven business interventions.</w:t>
      </w:r>
    </w:p>
    <w:p w14:paraId="0C8A4377" w14:textId="77777777" w:rsidR="0049260C" w:rsidRPr="00577262" w:rsidRDefault="0049260C">
      <w:pPr>
        <w:rPr>
          <w:rFonts w:ascii="Times New Roman" w:hAnsi="Times New Roman" w:cs="Times New Roman"/>
        </w:rPr>
      </w:pPr>
    </w:p>
    <w:sectPr w:rsidR="0049260C" w:rsidRPr="00577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5F9"/>
    <w:multiLevelType w:val="hybridMultilevel"/>
    <w:tmpl w:val="90ACA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FA225E5"/>
    <w:multiLevelType w:val="multilevel"/>
    <w:tmpl w:val="D37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727CD"/>
    <w:multiLevelType w:val="hybridMultilevel"/>
    <w:tmpl w:val="46744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DC599F"/>
    <w:multiLevelType w:val="hybridMultilevel"/>
    <w:tmpl w:val="37CE5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B127270"/>
    <w:multiLevelType w:val="hybridMultilevel"/>
    <w:tmpl w:val="E5B4E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6196108">
    <w:abstractNumId w:val="4"/>
  </w:num>
  <w:num w:numId="2" w16cid:durableId="298387450">
    <w:abstractNumId w:val="2"/>
  </w:num>
  <w:num w:numId="3" w16cid:durableId="1765952547">
    <w:abstractNumId w:val="0"/>
  </w:num>
  <w:num w:numId="4" w16cid:durableId="1958634524">
    <w:abstractNumId w:val="1"/>
  </w:num>
  <w:num w:numId="5" w16cid:durableId="103877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00"/>
    <w:rsid w:val="000F0244"/>
    <w:rsid w:val="00162BA9"/>
    <w:rsid w:val="001752FB"/>
    <w:rsid w:val="002569AA"/>
    <w:rsid w:val="003C1F6F"/>
    <w:rsid w:val="0049260C"/>
    <w:rsid w:val="004B4E35"/>
    <w:rsid w:val="00577262"/>
    <w:rsid w:val="00600ABE"/>
    <w:rsid w:val="00637D44"/>
    <w:rsid w:val="006F47B2"/>
    <w:rsid w:val="00775017"/>
    <w:rsid w:val="007A67AA"/>
    <w:rsid w:val="00A0368D"/>
    <w:rsid w:val="00B4178E"/>
    <w:rsid w:val="00D26849"/>
    <w:rsid w:val="00DC3CA7"/>
    <w:rsid w:val="00E87B3B"/>
    <w:rsid w:val="00F72200"/>
    <w:rsid w:val="00FF5D53"/>
    <w:rsid w:val="00FF78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EE59"/>
  <w15:chartTrackingRefBased/>
  <w15:docId w15:val="{30CE3D65-807E-4BA0-9E23-5CAE191CE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2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2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00"/>
    <w:rPr>
      <w:rFonts w:eastAsiaTheme="majorEastAsia" w:cstheme="majorBidi"/>
      <w:color w:val="272727" w:themeColor="text1" w:themeTint="D8"/>
    </w:rPr>
  </w:style>
  <w:style w:type="paragraph" w:styleId="Title">
    <w:name w:val="Title"/>
    <w:basedOn w:val="Normal"/>
    <w:next w:val="Normal"/>
    <w:link w:val="TitleChar"/>
    <w:uiPriority w:val="10"/>
    <w:qFormat/>
    <w:rsid w:val="00F72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00"/>
    <w:pPr>
      <w:spacing w:before="160"/>
      <w:jc w:val="center"/>
    </w:pPr>
    <w:rPr>
      <w:i/>
      <w:iCs/>
      <w:color w:val="404040" w:themeColor="text1" w:themeTint="BF"/>
    </w:rPr>
  </w:style>
  <w:style w:type="character" w:customStyle="1" w:styleId="QuoteChar">
    <w:name w:val="Quote Char"/>
    <w:basedOn w:val="DefaultParagraphFont"/>
    <w:link w:val="Quote"/>
    <w:uiPriority w:val="29"/>
    <w:rsid w:val="00F72200"/>
    <w:rPr>
      <w:i/>
      <w:iCs/>
      <w:color w:val="404040" w:themeColor="text1" w:themeTint="BF"/>
    </w:rPr>
  </w:style>
  <w:style w:type="paragraph" w:styleId="ListParagraph">
    <w:name w:val="List Paragraph"/>
    <w:basedOn w:val="Normal"/>
    <w:uiPriority w:val="34"/>
    <w:qFormat/>
    <w:rsid w:val="00F72200"/>
    <w:pPr>
      <w:ind w:left="720"/>
      <w:contextualSpacing/>
    </w:pPr>
  </w:style>
  <w:style w:type="character" w:styleId="IntenseEmphasis">
    <w:name w:val="Intense Emphasis"/>
    <w:basedOn w:val="DefaultParagraphFont"/>
    <w:uiPriority w:val="21"/>
    <w:qFormat/>
    <w:rsid w:val="00F72200"/>
    <w:rPr>
      <w:i/>
      <w:iCs/>
      <w:color w:val="0F4761" w:themeColor="accent1" w:themeShade="BF"/>
    </w:rPr>
  </w:style>
  <w:style w:type="paragraph" w:styleId="IntenseQuote">
    <w:name w:val="Intense Quote"/>
    <w:basedOn w:val="Normal"/>
    <w:next w:val="Normal"/>
    <w:link w:val="IntenseQuoteChar"/>
    <w:uiPriority w:val="30"/>
    <w:qFormat/>
    <w:rsid w:val="00F72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00"/>
    <w:rPr>
      <w:i/>
      <w:iCs/>
      <w:color w:val="0F4761" w:themeColor="accent1" w:themeShade="BF"/>
    </w:rPr>
  </w:style>
  <w:style w:type="character" w:styleId="IntenseReference">
    <w:name w:val="Intense Reference"/>
    <w:basedOn w:val="DefaultParagraphFont"/>
    <w:uiPriority w:val="32"/>
    <w:qFormat/>
    <w:rsid w:val="00F72200"/>
    <w:rPr>
      <w:b/>
      <w:bCs/>
      <w:smallCaps/>
      <w:color w:val="0F4761" w:themeColor="accent1" w:themeShade="BF"/>
      <w:spacing w:val="5"/>
    </w:rPr>
  </w:style>
  <w:style w:type="paragraph" w:styleId="NormalWeb">
    <w:name w:val="Normal (Web)"/>
    <w:basedOn w:val="Normal"/>
    <w:uiPriority w:val="99"/>
    <w:semiHidden/>
    <w:unhideWhenUsed/>
    <w:rsid w:val="005772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Sapkota</dc:creator>
  <cp:keywords/>
  <dc:description/>
  <cp:lastModifiedBy>Bipin Sapkota</cp:lastModifiedBy>
  <cp:revision>8</cp:revision>
  <dcterms:created xsi:type="dcterms:W3CDTF">2026-01-26T10:34:00Z</dcterms:created>
  <dcterms:modified xsi:type="dcterms:W3CDTF">2026-01-26T14:25:00Z</dcterms:modified>
</cp:coreProperties>
</file>