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A11DE" w:rsidRDefault="00FA11DE">
      <w:pPr>
        <w:pStyle w:val="Heading1"/>
        <w:rPr>
          <w:rFonts w:ascii="Segoe UI" w:eastAsia="Times New Roman" w:hAnsi="Segoe UI" w:cs="Segoe UI"/>
          <w:lang w:val="en"/>
        </w:rPr>
      </w:pPr>
      <w:r>
        <w:rPr>
          <w:rFonts w:ascii="Segoe UI" w:eastAsia="Times New Roman" w:hAnsi="Segoe UI" w:cs="Segoe UI"/>
          <w:lang w:val="en"/>
        </w:rPr>
        <w:t>Azure Local: Planning and Design Decisions</w:t>
      </w:r>
    </w:p>
    <w:p w:rsidR="00FA11DE" w:rsidRDefault="00FA11DE">
      <w:pPr>
        <w:pStyle w:val="NormalWeb"/>
        <w:rPr>
          <w:rFonts w:ascii="Segoe UI" w:hAnsi="Segoe UI" w:cs="Segoe UI"/>
          <w:color w:val="1B2430"/>
          <w:sz w:val="21"/>
          <w:szCs w:val="21"/>
          <w:lang w:val="en"/>
        </w:rPr>
      </w:pPr>
      <w:r>
        <w:rPr>
          <w:rFonts w:ascii="Segoe UI" w:hAnsi="Segoe UI" w:cs="Segoe UI"/>
          <w:color w:val="1B2430"/>
          <w:sz w:val="21"/>
          <w:szCs w:val="21"/>
          <w:lang w:val="en"/>
        </w:rPr>
        <w:t>How to plan an Azure Local deployment so that Deploy is an input file, not a discovery exercise. Each decision below follows the same shape: the question, the options, the pros and cons, the decision made for the example customer (IIC), and where the decision is recorded.</w:t>
      </w:r>
    </w:p>
    <w:p w:rsidR="00FA11DE" w:rsidRDefault="00FA11DE">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w:t>
      </w:r>
      <w:r>
        <w:rPr>
          <w:rFonts w:ascii="Segoe UI" w:hAnsi="Segoe UI" w:cs="Segoe UI"/>
          <w:color w:val="1B2430"/>
          <w:sz w:val="21"/>
          <w:szCs w:val="21"/>
          <w:lang w:val="en"/>
        </w:rPr>
        <w:t xml:space="preserve">prepared 2026-10-06 against Microsoft Learn for the 2609 release family. Where a choice depends on your release, region, hardware or tenant, the text says so. Preview features are labelled </w:t>
      </w:r>
      <w:r>
        <w:rPr>
          <w:rStyle w:val="Strong"/>
          <w:rFonts w:ascii="Segoe UI" w:hAnsi="Segoe UI" w:cs="Segoe UI"/>
          <w:color w:val="1B2430"/>
          <w:sz w:val="21"/>
          <w:szCs w:val="21"/>
          <w:lang w:val="en"/>
        </w:rPr>
        <w:t>preview</w:t>
      </w:r>
      <w:r>
        <w:rPr>
          <w:rFonts w:ascii="Segoe UI" w:hAnsi="Segoe UI" w:cs="Segoe UI"/>
          <w:color w:val="1B2430"/>
          <w:sz w:val="21"/>
          <w:szCs w:val="21"/>
          <w:lang w:val="en"/>
        </w:rPr>
        <w:t xml:space="preserve"> and are not a deployment recommendation.</w:t>
      </w:r>
    </w:p>
    <w:p w:rsidR="00FA11DE" w:rsidRDefault="00FA11DE">
      <w:pPr>
        <w:pStyle w:val="Heading2"/>
        <w:rPr>
          <w:rFonts w:ascii="Segoe UI" w:eastAsia="Times New Roman" w:hAnsi="Segoe UI" w:cs="Segoe UI"/>
          <w:lang w:val="en"/>
        </w:rPr>
      </w:pPr>
      <w:r>
        <w:rPr>
          <w:rFonts w:ascii="Segoe UI" w:eastAsia="Times New Roman" w:hAnsi="Segoe UI" w:cs="Segoe UI"/>
          <w:lang w:val="en"/>
        </w:rPr>
        <w:t>How to use this guide</w:t>
      </w:r>
    </w:p>
    <w:p w:rsidR="00FA11DE" w:rsidRDefault="00FA11DE">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Work through the decisions in order; each one feeds the next.</w:t>
      </w:r>
    </w:p>
    <w:p w:rsidR="00FA11DE" w:rsidRDefault="00FA11DE">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Record every decision in a decision log (identifier, question, decision, date, owner).</w:t>
      </w:r>
    </w:p>
    <w:p w:rsidR="00FA11DE" w:rsidRDefault="00FA11DE">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Put every resulting value in one deployment configuration file (the session repo uses </w:t>
      </w:r>
      <w:r>
        <w:rPr>
          <w:rStyle w:val="HTMLCode"/>
          <w:color w:val="1B2430"/>
          <w:lang w:val="en"/>
        </w:rPr>
        <w:t>environment/azure-local/environment.yml</w:t>
      </w:r>
      <w:r>
        <w:rPr>
          <w:rFonts w:ascii="Segoe UI" w:eastAsia="Times New Roman" w:hAnsi="Segoe UI" w:cs="Segoe UI"/>
          <w:color w:val="1B2430"/>
          <w:sz w:val="21"/>
          <w:szCs w:val="21"/>
          <w:lang w:val="en"/>
        </w:rPr>
        <w:t xml:space="preserve">, copied from an example file; the session also shows the </w:t>
      </w:r>
      <w:r>
        <w:rPr>
          <w:rStyle w:val="HTMLCode"/>
          <w:color w:val="1B2430"/>
          <w:lang w:val="en"/>
        </w:rPr>
        <w:t>infrastructure.yml</w:t>
      </w:r>
      <w:r>
        <w:rPr>
          <w:rFonts w:ascii="Segoe UI" w:eastAsia="Times New Roman" w:hAnsi="Segoe UI" w:cs="Segoe UI"/>
          <w:color w:val="1B2430"/>
          <w:sz w:val="21"/>
          <w:szCs w:val="21"/>
          <w:lang w:val="en"/>
        </w:rPr>
        <w:t xml:space="preserve"> design export). Nothing is typed by hand at deployment time.</w:t>
      </w:r>
    </w:p>
    <w:p w:rsidR="00FA11DE" w:rsidRDefault="00FA11DE">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 not start Deploy until the planning gate at the end of this guide is green.</w:t>
      </w:r>
    </w:p>
    <w:p w:rsidR="00FA11DE" w:rsidRDefault="00FA11DE">
      <w:pPr>
        <w:pStyle w:val="Heading2"/>
        <w:rPr>
          <w:rFonts w:ascii="Segoe UI" w:eastAsia="Times New Roman" w:hAnsi="Segoe UI" w:cs="Segoe UI"/>
          <w:lang w:val="en"/>
        </w:rPr>
      </w:pPr>
      <w:r>
        <w:rPr>
          <w:rFonts w:ascii="Segoe UI" w:eastAsia="Times New Roman" w:hAnsi="Segoe UI" w:cs="Segoe UI"/>
          <w:lang w:val="en"/>
        </w:rPr>
        <w:t>Whole-site discovery before purchasing or deploying</w:t>
      </w:r>
    </w:p>
    <w:p w:rsidR="00FA11DE" w:rsidRDefault="00FA11DE">
      <w:pPr>
        <w:pStyle w:val="NormalWeb"/>
        <w:rPr>
          <w:rFonts w:ascii="Segoe UI" w:hAnsi="Segoe UI" w:cs="Segoe UI"/>
          <w:color w:val="1B2430"/>
          <w:sz w:val="21"/>
          <w:szCs w:val="21"/>
          <w:lang w:val="en"/>
        </w:rPr>
      </w:pPr>
      <w:r>
        <w:rPr>
          <w:rFonts w:ascii="Segoe UI" w:hAnsi="Segoe UI" w:cs="Segoe UI"/>
          <w:color w:val="1B2430"/>
          <w:sz w:val="21"/>
          <w:szCs w:val="21"/>
          <w:lang w:val="en"/>
        </w:rPr>
        <w:t>Start with existing equipment versus a new purchase. Both routes need a verified site design; an inventory of the cluster nodes alone is insufficient. Keep raw inventory and complete configuration exports protected and private, and share only reviewed sanitized examples.</w:t>
      </w:r>
    </w:p>
    <w:tbl>
      <w:tblPr>
        <w:tblW w:w="5000" w:type="pct"/>
        <w:tblCellMar>
          <w:top w:w="15" w:type="dxa"/>
          <w:left w:w="15" w:type="dxa"/>
          <w:bottom w:w="15" w:type="dxa"/>
          <w:right w:w="15" w:type="dxa"/>
        </w:tblCellMar>
        <w:tblLook w:val="04A0" w:firstRow="1" w:lastRow="0" w:firstColumn="1" w:lastColumn="0" w:noHBand="0" w:noVBand="1"/>
      </w:tblPr>
      <w:tblGrid>
        <w:gridCol w:w="1543"/>
        <w:gridCol w:w="7801"/>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Evidence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What to record and review</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Every server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Model, serial/service tag, CPU/memory, firmware/BMC, NIC models and ports, per-port MAC addresses and link capabilities, drives/capacity/serials, controllers, boot media and intended OS disk; reconcile labels and cabling</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Fabric and boundaries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ToR and OOB switches, firewall devices, uplinks and software; management, compute, storage and OOB paths, gateways, routing, DNS/NTP, egress and return paths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Complete configuration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Full sanitized switch/firewall exports covering VLANs/subnets, port membership, tagged/untagged settings, trunks, MTU, routing, ACLs, NAT and required endpoints; compare observed configuration with design and record discrepancies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Tool provenance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Exact source/version, dependencies, access requirements, collection time, missing fields and supported vendor/model/firmware; verify available vendor management endpoints and schemas rather than assuming uniform support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lastRenderedPageBreak/>
              <w:t>Design handoff</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Review OEM JSON field mapping into the approved infrastructure YAML; preserve approved choices and flag missing or contradictory evidence rather than blindly overwriting values</w:t>
            </w:r>
          </w:p>
        </w:tc>
      </w:tr>
    </w:tbl>
    <w:p w:rsidR="00FA11DE" w:rsidRDefault="00FA11DE">
      <w:pPr>
        <w:pStyle w:val="NormalWeb"/>
        <w:rPr>
          <w:rFonts w:ascii="Segoe UI" w:hAnsi="Segoe UI" w:cs="Segoe UI"/>
          <w:color w:val="1B2430"/>
          <w:sz w:val="21"/>
          <w:szCs w:val="21"/>
          <w:lang w:val="en"/>
        </w:rPr>
      </w:pPr>
      <w:r>
        <w:rPr>
          <w:rFonts w:ascii="Segoe UI" w:hAnsi="Segoe UI" w:cs="Segoe UI"/>
          <w:color w:val="1B2430"/>
          <w:sz w:val="21"/>
          <w:szCs w:val="21"/>
          <w:lang w:val="en"/>
        </w:rPr>
        <w:t>Explicitly decide whether management and compute share a VLAN, use separate VLANs on shared adapters, or use dedicated adapters. VLAN isolation and physical convergence are separate choices. Map the approved choice and physical port/MAC evidence into Network ATC intents, including the storage/RDMA switch requirements.</w:t>
      </w:r>
    </w:p>
    <w:p w:rsidR="00FA11DE" w:rsidRDefault="00FA11DE">
      <w:pPr>
        <w:pStyle w:val="NormalWeb"/>
        <w:rPr>
          <w:rFonts w:ascii="Segoe UI" w:hAnsi="Segoe UI" w:cs="Segoe UI"/>
          <w:color w:val="1B2430"/>
          <w:sz w:val="21"/>
          <w:szCs w:val="21"/>
          <w:lang w:val="en"/>
        </w:rPr>
      </w:pPr>
      <w:r>
        <w:rPr>
          <w:rFonts w:ascii="Segoe UI" w:hAnsi="Segoe UI" w:cs="Segoe UI"/>
          <w:color w:val="1B2430"/>
          <w:sz w:val="21"/>
          <w:szCs w:val="21"/>
          <w:lang w:val="en"/>
        </w:rPr>
        <w:t>Select supported inventory and OS-provisioning tools for your hardware vendor and release, then record their versions and validate the collected evidence. A successfully tested networking/firewall path proves that path at that time; it does not prove every rule or full site readiness. Before OS installation, positively identify the approved boot disk and preserve every device outside the approved scope.</w:t>
      </w:r>
    </w:p>
    <w:p w:rsidR="00FA11DE" w:rsidRDefault="00FA11DE">
      <w:pPr>
        <w:pStyle w:val="Heading2"/>
        <w:rPr>
          <w:rFonts w:ascii="Segoe UI" w:eastAsia="Times New Roman" w:hAnsi="Segoe UI" w:cs="Segoe UI"/>
          <w:lang w:val="en"/>
        </w:rPr>
      </w:pPr>
      <w:r>
        <w:rPr>
          <w:rFonts w:ascii="Segoe UI" w:eastAsia="Times New Roman" w:hAnsi="Segoe UI" w:cs="Segoe UI"/>
          <w:lang w:val="en"/>
        </w:rPr>
        <w:t>Decision 1: Release</w:t>
      </w:r>
    </w:p>
    <w:tbl>
      <w:tblPr>
        <w:tblW w:w="5000" w:type="pct"/>
        <w:tblCellMar>
          <w:top w:w="15" w:type="dxa"/>
          <w:left w:w="15" w:type="dxa"/>
          <w:bottom w:w="15" w:type="dxa"/>
          <w:right w:w="15" w:type="dxa"/>
        </w:tblCellMar>
        <w:tblLook w:val="04A0" w:firstRow="1" w:lastRow="0" w:firstColumn="1" w:lastColumn="0" w:noHBand="0" w:noVBand="1"/>
      </w:tblPr>
      <w:tblGrid>
        <w:gridCol w:w="1130"/>
        <w:gridCol w:w="8214"/>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spacing w:before="120" w:after="200"/>
              <w:rPr>
                <w:rFonts w:eastAsia="Times New Roman"/>
                <w:sz w:val="20"/>
                <w:szCs w:val="20"/>
              </w:rPr>
            </w:pP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Which Azure Local release do we size, build and support against?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latest release at build time; the release named in an earlier planning document; a pinned older release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Pros and cons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Latest: current features and fixes, longest support window, but your hardware vendor must have validated it. Pinned older: stable for change control, but you must stay within six months of the most recent release to remain supported</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latest supported release at build time. A planning figure such as "2604" means "whatever is current when you deploy"</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Record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Decision log and the version manifest: planning baseline, actual release, template and API versions, preview features used, git tag, last validation date</w:t>
            </w:r>
          </w:p>
        </w:tc>
      </w:tr>
    </w:tbl>
    <w:p w:rsidR="00FA11DE" w:rsidRDefault="00FA11DE">
      <w:pPr>
        <w:pStyle w:val="NormalWeb"/>
        <w:rPr>
          <w:rFonts w:ascii="Segoe UI" w:hAnsi="Segoe UI" w:cs="Segoe UI"/>
          <w:color w:val="1B2430"/>
          <w:sz w:val="21"/>
          <w:szCs w:val="21"/>
          <w:lang w:val="en"/>
        </w:rPr>
      </w:pPr>
      <w:r>
        <w:rPr>
          <w:rFonts w:ascii="Segoe UI" w:hAnsi="Segoe UI" w:cs="Segoe UI"/>
          <w:color w:val="1B2430"/>
          <w:sz w:val="21"/>
          <w:szCs w:val="21"/>
          <w:lang w:val="en"/>
        </w:rPr>
        <w:t>Facts to design around (Microsoft Learn): Microsoft ships monthly quality updates, quarterly baseline updates and hotfixes as needed, plus solution builder extension updates from your hardware vendor. Feature releases can appear a week or more after Microsoft's release because the vendor validates them first. Keep the system within six months of the most recent release. The OEM solution extension must support the release you choose.</w:t>
      </w:r>
    </w:p>
    <w:p w:rsidR="00FA11DE" w:rsidRDefault="00FA11DE">
      <w:pPr>
        <w:pStyle w:val="Heading2"/>
        <w:rPr>
          <w:rFonts w:ascii="Segoe UI" w:eastAsia="Times New Roman" w:hAnsi="Segoe UI" w:cs="Segoe UI"/>
          <w:lang w:val="en"/>
        </w:rPr>
      </w:pPr>
      <w:r>
        <w:rPr>
          <w:rFonts w:ascii="Segoe UI" w:eastAsia="Times New Roman" w:hAnsi="Segoe UI" w:cs="Segoe UI"/>
          <w:lang w:val="en"/>
        </w:rPr>
        <w:t>Decision 2: Hardware</w:t>
      </w:r>
    </w:p>
    <w:tbl>
      <w:tblPr>
        <w:tblW w:w="5000" w:type="pct"/>
        <w:tblCellMar>
          <w:top w:w="15" w:type="dxa"/>
          <w:left w:w="15" w:type="dxa"/>
          <w:bottom w:w="15" w:type="dxa"/>
          <w:right w:w="15" w:type="dxa"/>
        </w:tblCellMar>
        <w:tblLook w:val="04A0" w:firstRow="1" w:lastRow="0" w:firstColumn="1" w:lastColumn="0" w:noHBand="0" w:noVBand="1"/>
      </w:tblPr>
      <w:tblGrid>
        <w:gridCol w:w="1056"/>
        <w:gridCol w:w="8288"/>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spacing w:before="120" w:after="200"/>
              <w:rPr>
                <w:rFonts w:eastAsia="Times New Roman"/>
                <w:sz w:val="20"/>
                <w:szCs w:val="20"/>
              </w:rPr>
            </w:pP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What do we buy, and who owns the firmware problem?</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lastRenderedPageBreak/>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Premier Solution; Integrated System; validated node; disaggregated, SAN-attached (documented for the 2609 release family without a preview label: Fibre Channel or iSCSI storage, one to 64 machines)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Pros and cons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Premier Solution: highest partner integration and validation, single support path, firmware managed through the solution extension. Integrated System: validated hardware with more deployment, update and support responsibility on you. Validated node: flexible sizing, you assemble the support model. Disaggregated: reuse existing SAN storage, different failure domains and a separate operating model</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validated integrated system from the Azure Local catalog: two nodes with all-flash NVMe, one GPU per node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Record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Bill of materials and the firmware baseline to reach before the OS is installed (BIOS, BMC, network adapters, drives, solution extension)</w:t>
            </w:r>
          </w:p>
        </w:tc>
      </w:tr>
    </w:tbl>
    <w:p w:rsidR="00FA11DE" w:rsidRDefault="00FA11DE">
      <w:pPr>
        <w:pStyle w:val="NormalWeb"/>
        <w:rPr>
          <w:rFonts w:ascii="Segoe UI" w:hAnsi="Segoe UI" w:cs="Segoe UI"/>
          <w:color w:val="1B2430"/>
          <w:sz w:val="21"/>
          <w:szCs w:val="21"/>
          <w:lang w:val="en"/>
        </w:rPr>
      </w:pPr>
      <w:r>
        <w:rPr>
          <w:rFonts w:ascii="Segoe UI" w:hAnsi="Segoe UI" w:cs="Segoe UI"/>
          <w:color w:val="1B2430"/>
          <w:sz w:val="21"/>
          <w:szCs w:val="21"/>
          <w:lang w:val="en"/>
        </w:rPr>
        <w:t>Start from an exact SKU in the Azure Local catalog and ask the hardware provider to validate the final configu</w:t>
      </w:r>
      <w:r>
        <w:rPr>
          <w:rFonts w:ascii="Segoe UI" w:hAnsi="Segoe UI" w:cs="Segoe UI"/>
          <w:color w:val="1B2430"/>
          <w:sz w:val="21"/>
          <w:szCs w:val="21"/>
          <w:lang w:val="en"/>
        </w:rPr>
        <w:t>ration against workload, failure-state, support and lifecycle requirements. The solution categories in the catalog today are Premier Solutions, Integrated Systems and Validated Nodes; names change over time, so confirm them in the catalog when you design.</w:t>
      </w:r>
    </w:p>
    <w:p w:rsidR="00FA11DE" w:rsidRDefault="00FA11DE">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Decision matrix to complete per option:</w:t>
      </w:r>
      <w:r>
        <w:rPr>
          <w:rFonts w:ascii="Segoe UI" w:hAnsi="Segoe UI" w:cs="Segoe UI"/>
          <w:color w:val="1B2430"/>
          <w:sz w:val="21"/>
          <w:szCs w:val="21"/>
          <w:lang w:val="en"/>
        </w:rPr>
        <w:t xml:space="preserve"> eligibility, who owns support and firmware, storage architecture, failure domains, expansion path, cost implications.</w:t>
      </w:r>
    </w:p>
    <w:p w:rsidR="00FA11DE" w:rsidRDefault="00FA11DE">
      <w:pPr>
        <w:pStyle w:val="Heading2"/>
        <w:rPr>
          <w:rFonts w:ascii="Segoe UI" w:eastAsia="Times New Roman" w:hAnsi="Segoe UI" w:cs="Segoe UI"/>
          <w:lang w:val="en"/>
        </w:rPr>
      </w:pPr>
      <w:r>
        <w:rPr>
          <w:rFonts w:ascii="Segoe UI" w:eastAsia="Times New Roman" w:hAnsi="Segoe UI" w:cs="Segoe UI"/>
          <w:lang w:val="en"/>
        </w:rPr>
        <w:t>Decision 3: Topology and quorum</w:t>
      </w:r>
    </w:p>
    <w:tbl>
      <w:tblPr>
        <w:tblW w:w="5000" w:type="pct"/>
        <w:tblCellMar>
          <w:top w:w="15" w:type="dxa"/>
          <w:left w:w="15" w:type="dxa"/>
          <w:bottom w:w="15" w:type="dxa"/>
          <w:right w:w="15" w:type="dxa"/>
        </w:tblCellMar>
        <w:tblLook w:val="04A0" w:firstRow="1" w:lastRow="0" w:firstColumn="1" w:lastColumn="0" w:noHBand="0" w:noVBand="1"/>
      </w:tblPr>
      <w:tblGrid>
        <w:gridCol w:w="1391"/>
        <w:gridCol w:w="7953"/>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spacing w:before="120" w:after="200"/>
              <w:rPr>
                <w:rFonts w:eastAsia="Times New Roman"/>
                <w:sz w:val="20"/>
                <w:szCs w:val="20"/>
              </w:rPr>
            </w:pP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How many nodes, switched or switchless storage, and when do racks become fault domains?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 nodes, switched storage; two nodes, switchless; three or more nodes; Rack Aware cluster</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 nodes, switched storage, cloud witness</w:t>
            </w:r>
          </w:p>
        </w:tc>
      </w:tr>
    </w:tbl>
    <w:p w:rsidR="00FA11DE" w:rsidRDefault="00FA11DE">
      <w:pPr>
        <w:pStyle w:val="NormalWeb"/>
        <w:rPr>
          <w:rFonts w:ascii="Segoe UI" w:hAnsi="Segoe UI" w:cs="Segoe UI"/>
          <w:color w:val="1B2430"/>
          <w:sz w:val="21"/>
          <w:szCs w:val="21"/>
          <w:lang w:val="en"/>
        </w:rPr>
      </w:pPr>
      <w:r>
        <w:rPr>
          <w:rFonts w:ascii="Segoe UI" w:hAnsi="Segoe UI" w:cs="Segoe UI"/>
          <w:color w:val="1B2430"/>
          <w:sz w:val="21"/>
          <w:szCs w:val="21"/>
          <w:lang w:val="en"/>
        </w:rPr>
        <w:t>Quorum facts (Microsoft Learn): with two nodes a witness is required. Two nodes plus a witness survive one node failure; they cannot survive a second failure. If a node and then the witness are lost (or both at once), the cluster has one vote of three and goes offline. A two-node cloud deployment requires a cloud witness (the deployment template accepts only Cloud as the witness type for two nodes). In the current release a witness storage account cannot be shared between systems.</w:t>
      </w:r>
    </w:p>
    <w:p w:rsidR="00FA11DE" w:rsidRDefault="00FA11DE">
      <w:pPr>
        <w:pStyle w:val="NormalWeb"/>
        <w:rPr>
          <w:rFonts w:ascii="Segoe UI" w:hAnsi="Segoe UI" w:cs="Segoe UI"/>
          <w:color w:val="1B2430"/>
          <w:sz w:val="21"/>
          <w:szCs w:val="21"/>
          <w:lang w:val="en"/>
        </w:rPr>
      </w:pPr>
      <w:r>
        <w:rPr>
          <w:rFonts w:ascii="Segoe UI" w:hAnsi="Segoe UI" w:cs="Segoe UI"/>
          <w:color w:val="1B2430"/>
          <w:sz w:val="21"/>
          <w:szCs w:val="21"/>
          <w:lang w:val="en"/>
        </w:rPr>
        <w:t>Trade-off to state to the customer: on two nodes, volumes use a two-way mirror, so one fault leaves zero redundancy until the repair finishes.</w:t>
      </w:r>
    </w:p>
    <w:p w:rsidR="00FA11DE" w:rsidRDefault="00FA11DE">
      <w:pPr>
        <w:pStyle w:val="Heading3"/>
        <w:rPr>
          <w:rFonts w:ascii="Segoe UI" w:eastAsia="Times New Roman" w:hAnsi="Segoe UI" w:cs="Segoe UI"/>
          <w:lang w:val="en"/>
        </w:rPr>
      </w:pPr>
      <w:r>
        <w:rPr>
          <w:rFonts w:ascii="Segoe UI" w:eastAsia="Times New Roman" w:hAnsi="Segoe UI" w:cs="Segoe UI"/>
          <w:lang w:val="en"/>
        </w:rPr>
        <w:t>Rack Aware cluster (not chosen here)</w:t>
      </w:r>
    </w:p>
    <w:p w:rsidR="00FA11DE" w:rsidRDefault="00FA11DE">
      <w:pPr>
        <w:pStyle w:val="NormalWeb"/>
        <w:rPr>
          <w:rFonts w:ascii="Segoe UI" w:hAnsi="Segoe UI" w:cs="Segoe UI"/>
          <w:color w:val="1B2430"/>
          <w:sz w:val="21"/>
          <w:szCs w:val="21"/>
          <w:lang w:val="en"/>
        </w:rPr>
      </w:pPr>
      <w:r>
        <w:rPr>
          <w:rFonts w:ascii="Segoe UI" w:hAnsi="Segoe UI" w:cs="Segoe UI"/>
          <w:color w:val="1B2430"/>
          <w:sz w:val="21"/>
          <w:szCs w:val="21"/>
          <w:lang w:val="en"/>
        </w:rPr>
        <w:t>A Rack Aware cluster places nodes in two physical racks, each acting as a local availability zone, in two rooms or buildings.</w:t>
      </w:r>
    </w:p>
    <w:tbl>
      <w:tblPr>
        <w:tblW w:w="5000" w:type="pct"/>
        <w:tblCellMar>
          <w:top w:w="15" w:type="dxa"/>
          <w:left w:w="15" w:type="dxa"/>
          <w:bottom w:w="15" w:type="dxa"/>
          <w:right w:w="15" w:type="dxa"/>
        </w:tblCellMar>
        <w:tblLook w:val="04A0" w:firstRow="1" w:lastRow="0" w:firstColumn="1" w:lastColumn="0" w:noHBand="0" w:noVBand="1"/>
      </w:tblPr>
      <w:tblGrid>
        <w:gridCol w:w="1487"/>
        <w:gridCol w:w="7857"/>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Requirement</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Value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Deployment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New deployments only; a standard cluster cannot be converted</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Zones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 zones, equal machine counts, maximum four machines per zone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Drives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All-flash (NVMe or SSD)</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Latency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 ms or less round trip between racks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Storage network</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dedicated storage network intent with enough bandwidth for synchronous replication</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Volumes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Two-way or four-way mirror only; no three-way mirror</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Expansion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Add nodes in pairs; a 1+1 cluster cannot be expanded in this release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Readiness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Run the LLDP network validator before deployment; LLDP must be enabled on all switch ports to the nodes</w:t>
            </w:r>
          </w:p>
        </w:tc>
      </w:tr>
    </w:tbl>
    <w:p w:rsidR="00FA11DE" w:rsidRDefault="00FA11DE">
      <w:pPr>
        <w:pStyle w:val="NormalWeb"/>
        <w:rPr>
          <w:rFonts w:ascii="Segoe UI" w:hAnsi="Segoe UI" w:cs="Segoe UI"/>
          <w:color w:val="1B2430"/>
          <w:sz w:val="21"/>
          <w:szCs w:val="21"/>
          <w:lang w:val="en"/>
        </w:rPr>
      </w:pPr>
      <w:r>
        <w:rPr>
          <w:rFonts w:ascii="Segoe UI" w:hAnsi="Segoe UI" w:cs="Segoe UI"/>
          <w:color w:val="1B2430"/>
          <w:sz w:val="21"/>
          <w:szCs w:val="21"/>
          <w:lang w:val="en"/>
        </w:rPr>
        <w:t>Why it is not chosen for IIC: it needs two rooms or racks with the required latency and bandwidth, and the two-node demo cluster does not prove that topology.</w:t>
      </w:r>
    </w:p>
    <w:p w:rsidR="00FA11DE" w:rsidRDefault="00FA11DE">
      <w:pPr>
        <w:pStyle w:val="Heading2"/>
        <w:rPr>
          <w:rFonts w:ascii="Segoe UI" w:eastAsia="Times New Roman" w:hAnsi="Segoe UI" w:cs="Segoe UI"/>
          <w:lang w:val="en"/>
        </w:rPr>
      </w:pPr>
      <w:r>
        <w:rPr>
          <w:rFonts w:ascii="Segoe UI" w:eastAsia="Times New Roman" w:hAnsi="Segoe UI" w:cs="Segoe UI"/>
          <w:lang w:val="en"/>
        </w:rPr>
        <w:t>Decision 4: Connectivity and egress</w:t>
      </w:r>
    </w:p>
    <w:tbl>
      <w:tblPr>
        <w:tblW w:w="5000" w:type="pct"/>
        <w:tblCellMar>
          <w:top w:w="15" w:type="dxa"/>
          <w:left w:w="15" w:type="dxa"/>
          <w:bottom w:w="15" w:type="dxa"/>
          <w:right w:w="15" w:type="dxa"/>
        </w:tblCellMar>
        <w:tblLook w:val="04A0" w:firstRow="1" w:lastRow="0" w:firstColumn="1" w:lastColumn="0" w:noHBand="0" w:noVBand="1"/>
      </w:tblPr>
      <w:tblGrid>
        <w:gridCol w:w="963"/>
        <w:gridCol w:w="8381"/>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spacing w:before="120" w:after="200"/>
              <w:rPr>
                <w:rFonts w:eastAsia="Times New Roman"/>
                <w:sz w:val="20"/>
                <w:szCs w:val="20"/>
              </w:rPr>
            </w:pP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How do the nodes, the Arc Resource Bridge and the VMs reach Azure, and how many firewall holes does that cost?</w:t>
            </w:r>
          </w:p>
        </w:tc>
      </w:tr>
    </w:tbl>
    <w:p w:rsidR="00FA11DE" w:rsidRDefault="00FA11DE">
      <w:pPr>
        <w:rPr>
          <w:rFonts w:ascii="Segoe UI" w:eastAsia="Times New Roman" w:hAnsi="Segoe UI" w:cs="Segoe UI"/>
          <w:vanish/>
          <w:color w:val="1B2430"/>
          <w:sz w:val="21"/>
          <w:szCs w:val="21"/>
          <w:lang w:val="en"/>
        </w:rPr>
      </w:pPr>
    </w:p>
    <w:tbl>
      <w:tblPr>
        <w:tblW w:w="5000" w:type="pct"/>
        <w:tblCellMar>
          <w:top w:w="15" w:type="dxa"/>
          <w:left w:w="15" w:type="dxa"/>
          <w:bottom w:w="15" w:type="dxa"/>
          <w:right w:w="15" w:type="dxa"/>
        </w:tblCellMar>
        <w:tblLook w:val="04A0" w:firstRow="1" w:lastRow="0" w:firstColumn="1" w:lastColumn="0" w:noHBand="0" w:noVBand="1"/>
      </w:tblPr>
      <w:tblGrid>
        <w:gridCol w:w="1619"/>
        <w:gridCol w:w="3232"/>
        <w:gridCol w:w="4493"/>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Option</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Endpoints on the firewall</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Notes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Direct outbound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More than 100 FQDNs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Simplest to build, largest allow-list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Enterprise proxy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Same list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TLS inspection must be disabled for the required endpoints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Arc gateway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Fewer than 30</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Tunnels supported HTTPS traffic; </w:t>
            </w:r>
            <w:r>
              <w:rPr>
                <w:rStyle w:val="Strong"/>
                <w:rFonts w:ascii="Segoe UI" w:eastAsia="Times New Roman" w:hAnsi="Segoe UI" w:cs="Segoe UI"/>
                <w:color w:val="1B2430"/>
                <w:sz w:val="18"/>
                <w:szCs w:val="18"/>
              </w:rPr>
              <w:t>new deployments on 2506 or later only; it cannot be enabled after deployment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Proxy plus Arc gateway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Fewest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Recommended for new production deployments on a public path</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Private path</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Arc gateway plus a firewall explicit proxy over ExpressRoute or site-to-site VPN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Requires Azure Local 2608 or later; earlier releases do not support it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Disconnected operations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n/a</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For air-gapped sites</w:t>
            </w:r>
          </w:p>
        </w:tc>
      </w:tr>
    </w:tbl>
    <w:p w:rsidR="00FA11DE" w:rsidRDefault="00FA11DE">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Constraints that shape the decision (Microsoft Learn): HTTP traffic is never tunneled through the Arc gateway; OEM and third-party endpoints are not covered by it; Azure Arc Private Link is not supported for Azure Local infrastructure, so Arc registration uses public Arc endpoints; private endpoint addresses must stay outside </w:t>
      </w:r>
      <w:r>
        <w:rPr>
          <w:rStyle w:val="HTMLCode"/>
          <w:color w:val="1B2430"/>
          <w:lang w:val="en"/>
        </w:rPr>
        <w:t>10.96.0.0/12</w:t>
      </w:r>
      <w:r>
        <w:rPr>
          <w:rFonts w:ascii="Segoe UI" w:hAnsi="Segoe UI" w:cs="Segoe UI"/>
          <w:color w:val="1B2430"/>
          <w:sz w:val="21"/>
          <w:szCs w:val="21"/>
          <w:lang w:val="en"/>
        </w:rPr>
        <w:t xml:space="preserve"> and </w:t>
      </w:r>
      <w:r>
        <w:rPr>
          <w:rStyle w:val="HTMLCode"/>
          <w:color w:val="1B2430"/>
          <w:lang w:val="en"/>
        </w:rPr>
        <w:t>10.244.0.0/16</w:t>
      </w:r>
      <w:r>
        <w:rPr>
          <w:rFonts w:ascii="Segoe UI" w:hAnsi="Segoe UI" w:cs="Segoe UI"/>
          <w:color w:val="1B2430"/>
          <w:sz w:val="21"/>
          <w:szCs w:val="21"/>
          <w:lang w:val="en"/>
        </w:rPr>
        <w:t>; keep Key Vault and the witness storage account publicly reachable until deployment completes, then restrict them. Firewall rules must be in place before Arc registration; validate them with the Environment Checker.</w:t>
      </w:r>
    </w:p>
    <w:p w:rsidR="00FA11DE" w:rsidRDefault="00FA11DE">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Keep three things apart in your design document:</w:t>
      </w:r>
      <w:r>
        <w:rPr>
          <w:rFonts w:ascii="Segoe UI" w:hAnsi="Segoe UI" w:cs="Segoe UI"/>
          <w:color w:val="1B2430"/>
          <w:sz w:val="21"/>
          <w:szCs w:val="21"/>
          <w:lang w:val="en"/>
        </w:rPr>
        <w:t xml:space="preserve"> the production recommendation (Arc gateway or proxy plus Arc gateway), any constraint of a preview feature you use, and any lab workaround.</w:t>
      </w:r>
    </w:p>
    <w:p w:rsidR="00FA11DE" w:rsidRDefault="00FA11DE">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Decision (IIC):</w:t>
      </w:r>
      <w:r>
        <w:rPr>
          <w:rFonts w:ascii="Segoe UI" w:hAnsi="Segoe UI" w:cs="Segoe UI"/>
          <w:color w:val="1B2430"/>
          <w:sz w:val="21"/>
          <w:szCs w:val="21"/>
          <w:lang w:val="en"/>
        </w:rPr>
        <w:t xml:space="preserve"> </w:t>
      </w:r>
      <w:r>
        <w:rPr>
          <w:rFonts w:ascii="Segoe UI" w:hAnsi="Segoe UI" w:cs="Segoe UI"/>
          <w:color w:val="1B2430"/>
          <w:sz w:val="21"/>
          <w:szCs w:val="21"/>
          <w:lang w:val="en"/>
        </w:rPr>
        <w:t>direct egress with the full allow-list and no Arc gateway, because the lab used the simplified machine provisioning preview, which was checked not to work with the Arc gateway at the version used. The lesson: choose the Arc gateway during planning, because it cannot be added later.</w:t>
      </w:r>
    </w:p>
    <w:p w:rsidR="00FA11DE" w:rsidRDefault="00FA11DE">
      <w:pPr>
        <w:pStyle w:val="NormalWeb"/>
        <w:rPr>
          <w:rFonts w:ascii="Segoe UI" w:hAnsi="Segoe UI" w:cs="Segoe UI"/>
          <w:color w:val="1B2430"/>
          <w:sz w:val="21"/>
          <w:szCs w:val="21"/>
          <w:lang w:val="en"/>
        </w:rPr>
      </w:pPr>
      <w:r>
        <w:rPr>
          <w:rFonts w:ascii="Segoe UI" w:hAnsi="Segoe UI" w:cs="Segoe UI"/>
          <w:color w:val="1B2430"/>
          <w:sz w:val="21"/>
          <w:szCs w:val="21"/>
          <w:lang w:val="en"/>
        </w:rPr>
        <w:t>Also decide here: DNS zone and NTP; a management IP pool of at least six consecutive addresses; static node addressing; and the endpoint allow-list for every service the design uses later (Monitor, Update, Backup, Site Recovery, Migrate, Key Vault, witness storage).</w:t>
      </w:r>
    </w:p>
    <w:p w:rsidR="00FA11DE" w:rsidRDefault="00FA11DE">
      <w:pPr>
        <w:pStyle w:val="Heading2"/>
        <w:rPr>
          <w:rFonts w:ascii="Segoe UI" w:eastAsia="Times New Roman" w:hAnsi="Segoe UI" w:cs="Segoe UI"/>
          <w:lang w:val="en"/>
        </w:rPr>
      </w:pPr>
      <w:r>
        <w:rPr>
          <w:rFonts w:ascii="Segoe UI" w:eastAsia="Times New Roman" w:hAnsi="Segoe UI" w:cs="Segoe UI"/>
          <w:lang w:val="en"/>
        </w:rPr>
        <w:t>Decision 5: Network design</w:t>
      </w:r>
    </w:p>
    <w:tbl>
      <w:tblPr>
        <w:tblW w:w="5000" w:type="pct"/>
        <w:tblCellMar>
          <w:top w:w="15" w:type="dxa"/>
          <w:left w:w="15" w:type="dxa"/>
          <w:bottom w:w="15" w:type="dxa"/>
          <w:right w:w="15" w:type="dxa"/>
        </w:tblCellMar>
        <w:tblLook w:val="04A0" w:firstRow="1" w:lastRow="0" w:firstColumn="1" w:lastColumn="0" w:noHBand="0" w:noVBand="1"/>
      </w:tblPr>
      <w:tblGrid>
        <w:gridCol w:w="1165"/>
        <w:gridCol w:w="8179"/>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spacing w:before="120" w:after="200"/>
              <w:rPr>
                <w:rFonts w:eastAsia="Times New Roman"/>
                <w:sz w:val="20"/>
                <w:szCs w:val="20"/>
              </w:rPr>
            </w:pP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How do the node ports become a supported network?</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Three intents (management, compute, storage) or converged management plus compute; switched or switchless storage; one storage VLAN per adapter</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Three intents; dedicated management, compute and two storage VLANs; jumbo frames on storage; a per-node port map; switch configuration generated from the design</w:t>
            </w:r>
          </w:p>
        </w:tc>
      </w:tr>
    </w:tbl>
    <w:p w:rsidR="00FA11DE" w:rsidRDefault="00FA11DE">
      <w:pPr>
        <w:pStyle w:val="NormalWeb"/>
        <w:rPr>
          <w:rFonts w:ascii="Segoe UI" w:hAnsi="Segoe UI" w:cs="Segoe UI"/>
          <w:color w:val="1B2430"/>
          <w:sz w:val="21"/>
          <w:szCs w:val="21"/>
          <w:lang w:val="en"/>
        </w:rPr>
      </w:pPr>
      <w:r>
        <w:rPr>
          <w:rFonts w:ascii="Segoe UI" w:hAnsi="Segoe UI" w:cs="Segoe UI"/>
          <w:color w:val="1B2430"/>
          <w:sz w:val="21"/>
          <w:szCs w:val="21"/>
          <w:lang w:val="en"/>
        </w:rPr>
        <w:t>Facts (Microsoft Learn): RDMA is required for the storage traffic of multi-node clusters. For each adapter it is either iWARP (data center bridging optional) or RoCE (data center bridging required, configured identically on every port and switch). The management VLAN ID and the management IP pool cannot be changed after deployment; if you use a management VLAN, set it on the physical adapters before Arc registration (untagged management needs no adapter VLAN setting). Do not place any infrastructure IP, DNS</w:t>
      </w:r>
      <w:r>
        <w:rPr>
          <w:rFonts w:ascii="Segoe UI" w:hAnsi="Segoe UI" w:cs="Segoe UI"/>
          <w:color w:val="1B2430"/>
          <w:sz w:val="21"/>
          <w:szCs w:val="21"/>
          <w:lang w:val="en"/>
        </w:rPr>
        <w:t xml:space="preserve"> server or proxy in</w:t>
      </w:r>
      <w:r>
        <w:rPr>
          <w:rFonts w:ascii="Segoe UI" w:hAnsi="Segoe UI" w:cs="Segoe UI"/>
          <w:color w:val="1B2430"/>
          <w:sz w:val="21"/>
          <w:szCs w:val="21"/>
          <w:lang w:val="en"/>
        </w:rPr>
        <w:t xml:space="preserve"> </w:t>
      </w:r>
      <w:r>
        <w:rPr>
          <w:rStyle w:val="HTMLCode"/>
          <w:color w:val="1B2430"/>
          <w:lang w:val="en"/>
        </w:rPr>
        <w:t>10.96.0.0/12</w:t>
      </w:r>
      <w:r>
        <w:rPr>
          <w:rFonts w:ascii="Segoe UI" w:hAnsi="Segoe UI" w:cs="Segoe UI"/>
          <w:color w:val="1B2430"/>
          <w:sz w:val="21"/>
          <w:szCs w:val="21"/>
          <w:lang w:val="en"/>
        </w:rPr>
        <w:t xml:space="preserve"> or </w:t>
      </w:r>
      <w:r>
        <w:rPr>
          <w:rStyle w:val="HTMLCode"/>
          <w:color w:val="1B2430"/>
          <w:lang w:val="en"/>
        </w:rPr>
        <w:t>10.244.0.0/16</w:t>
      </w:r>
      <w:r>
        <w:rPr>
          <w:rFonts w:ascii="Segoe UI" w:hAnsi="Segoe UI" w:cs="Segoe UI"/>
          <w:color w:val="1B2430"/>
          <w:sz w:val="21"/>
          <w:szCs w:val="21"/>
          <w:lang w:val="en"/>
        </w:rPr>
        <w:t>.</w:t>
      </w:r>
    </w:p>
    <w:p w:rsidR="00FA11DE" w:rsidRDefault="00FA11DE">
      <w:pPr>
        <w:pStyle w:val="NormalWeb"/>
        <w:rPr>
          <w:rFonts w:ascii="Segoe UI" w:hAnsi="Segoe UI" w:cs="Segoe UI"/>
          <w:color w:val="1B2430"/>
          <w:sz w:val="21"/>
          <w:szCs w:val="21"/>
          <w:lang w:val="en"/>
        </w:rPr>
      </w:pPr>
      <w:r>
        <w:rPr>
          <w:rFonts w:ascii="Segoe UI" w:hAnsi="Segoe UI" w:cs="Segoe UI"/>
          <w:color w:val="1B2430"/>
          <w:sz w:val="21"/>
          <w:szCs w:val="21"/>
          <w:lang w:val="en"/>
        </w:rPr>
        <w:t>IP count for a two-node switched pattern without SDN: 7 management IPs required (one per host, one for the cluster, three for the Arc Resource Bridge management stack, one for the VM update role) plus 4 storage IPs, 11 in total; one more if you use an optional OEM VM. Plan the management pool as at least six consecutive addresses on the nodes' subnet, outside the node addresses, to cover the cluster IP and the infrastructure services.</w:t>
      </w:r>
    </w:p>
    <w:p w:rsidR="00FA11DE" w:rsidRDefault="00FA11DE">
      <w:pPr>
        <w:pStyle w:val="Heading2"/>
        <w:rPr>
          <w:rFonts w:ascii="Segoe UI" w:eastAsia="Times New Roman" w:hAnsi="Segoe UI" w:cs="Segoe UI"/>
          <w:lang w:val="en"/>
        </w:rPr>
      </w:pPr>
      <w:r>
        <w:rPr>
          <w:rFonts w:ascii="Segoe UI" w:eastAsia="Times New Roman" w:hAnsi="Segoe UI" w:cs="Segoe UI"/>
          <w:lang w:val="en"/>
        </w:rPr>
        <w:t>Decision 6: Identity and access</w:t>
      </w:r>
    </w:p>
    <w:tbl>
      <w:tblPr>
        <w:tblW w:w="5000" w:type="pct"/>
        <w:tblCellMar>
          <w:top w:w="15" w:type="dxa"/>
          <w:left w:w="15" w:type="dxa"/>
          <w:bottom w:w="15" w:type="dxa"/>
          <w:right w:w="15" w:type="dxa"/>
        </w:tblCellMar>
        <w:tblLook w:val="04A0" w:firstRow="1" w:lastRow="0" w:firstColumn="1" w:lastColumn="0" w:noHBand="0" w:noVBand="1"/>
      </w:tblPr>
      <w:tblGrid>
        <w:gridCol w:w="1712"/>
        <w:gridCol w:w="7632"/>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spacing w:before="120" w:after="200"/>
              <w:rPr>
                <w:rFonts w:eastAsia="Times New Roman"/>
                <w:sz w:val="20"/>
                <w:szCs w:val="20"/>
              </w:rPr>
            </w:pP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What does the cluster trust, and what breaks when that service is down?</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Local Identity with Azure Key Vault; Active Directory; hybrid</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Local Identity with Key Vault</w:t>
            </w:r>
          </w:p>
        </w:tc>
      </w:tr>
    </w:tbl>
    <w:p w:rsidR="00FA11DE" w:rsidRDefault="00FA11DE">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What Local Identity requires (Microsoft Learn): a non-built-in local administrator with identical credentials on every node, static IP addresses (no DHCP for the nodes), a DNS server with a correctly configured zone (an internal DNS option is available as a </w:t>
      </w:r>
      <w:r>
        <w:rPr>
          <w:rStyle w:val="Strong"/>
          <w:rFonts w:ascii="Segoe UI" w:hAnsi="Segoe UI" w:cs="Segoe UI"/>
          <w:color w:val="1B2430"/>
          <w:sz w:val="21"/>
          <w:szCs w:val="21"/>
          <w:lang w:val="en"/>
        </w:rPr>
        <w:t>preview</w:t>
      </w:r>
      <w:r>
        <w:rPr>
          <w:rFonts w:ascii="Segoe UI" w:hAnsi="Segoe UI" w:cs="Segoe UI"/>
          <w:color w:val="1B2430"/>
          <w:sz w:val="21"/>
          <w:szCs w:val="21"/>
          <w:lang w:val="en"/>
        </w:rPr>
        <w:t xml:space="preserve">), SSH enabled on each node for </w:t>
      </w:r>
      <w:r>
        <w:rPr>
          <w:rFonts w:ascii="Segoe UI" w:hAnsi="Segoe UI" w:cs="Segoe UI"/>
          <w:color w:val="1B2430"/>
          <w:sz w:val="21"/>
          <w:szCs w:val="21"/>
          <w:lang w:val="en"/>
        </w:rPr>
        <w:t>portal access, and one Key Vault per cluster for BitLocker keys and the recovery administrator. No OU, pre-created objects or domain join. Windows Admin Center is not supported with this model; use PowerShell, the portal and Azure Monitor.</w:t>
      </w:r>
    </w:p>
    <w:p w:rsidR="00FA11DE" w:rsidRDefault="00FA11DE">
      <w:pPr>
        <w:pStyle w:val="NormalWeb"/>
        <w:rPr>
          <w:rFonts w:ascii="Segoe UI" w:hAnsi="Segoe UI" w:cs="Segoe UI"/>
          <w:color w:val="1B2430"/>
          <w:sz w:val="21"/>
          <w:szCs w:val="21"/>
          <w:lang w:val="en"/>
        </w:rPr>
      </w:pPr>
      <w:r>
        <w:rPr>
          <w:rFonts w:ascii="Segoe UI" w:hAnsi="Segoe UI" w:cs="Segoe UI"/>
          <w:color w:val="1B2430"/>
          <w:sz w:val="21"/>
          <w:szCs w:val="21"/>
          <w:lang w:val="en"/>
        </w:rPr>
        <w:t>People and automation access: Entra groups for operators, engineers and administrators; Azure RBAC for deployment and operations; Privileged Identity Management for eligible, not standing, access; the deployment identity with only the roles it needs; Conditional Access that must not block service principals or the deployment.</w:t>
      </w:r>
    </w:p>
    <w:p w:rsidR="00FA11DE" w:rsidRDefault="00FA11DE">
      <w:pPr>
        <w:pStyle w:val="Heading2"/>
        <w:rPr>
          <w:rFonts w:ascii="Segoe UI" w:eastAsia="Times New Roman" w:hAnsi="Segoe UI" w:cs="Segoe UI"/>
          <w:lang w:val="en"/>
        </w:rPr>
      </w:pPr>
      <w:r>
        <w:rPr>
          <w:rFonts w:ascii="Segoe UI" w:eastAsia="Times New Roman" w:hAnsi="Segoe UI" w:cs="Segoe UI"/>
          <w:lang w:val="en"/>
        </w:rPr>
        <w:t>Decision 7: Landing zone and naming</w:t>
      </w:r>
    </w:p>
    <w:tbl>
      <w:tblPr>
        <w:tblW w:w="5000" w:type="pct"/>
        <w:tblCellMar>
          <w:top w:w="15" w:type="dxa"/>
          <w:left w:w="15" w:type="dxa"/>
          <w:bottom w:w="15" w:type="dxa"/>
          <w:right w:w="15" w:type="dxa"/>
        </w:tblCellMar>
        <w:tblLook w:val="04A0" w:firstRow="1" w:lastRow="0" w:firstColumn="1" w:lastColumn="0" w:noHBand="0" w:noVBand="1"/>
      </w:tblPr>
      <w:tblGrid>
        <w:gridCol w:w="1177"/>
        <w:gridCol w:w="8167"/>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spacing w:before="120" w:after="200"/>
              <w:rPr>
                <w:rFonts w:eastAsia="Times New Roman"/>
                <w:sz w:val="20"/>
                <w:szCs w:val="20"/>
              </w:rPr>
            </w:pP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Where does the cluster live in Azure, who pays, and what governs it?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Full Cloud Adoption Framework landing zone (management group hierarchy, subscription per landing zone); simplified (one subscription, resource-group scope)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dedicated Azure Local landing-zone subscription under the customer landing-zones management group</w:t>
            </w:r>
          </w:p>
        </w:tc>
      </w:tr>
    </w:tbl>
    <w:p w:rsidR="00FA11DE" w:rsidRDefault="00FA11DE">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The landing zone must contain, before Deploy: resource groups, registered resource providers (including </w:t>
      </w:r>
      <w:r>
        <w:rPr>
          <w:rStyle w:val="HTMLCode"/>
          <w:color w:val="1B2430"/>
          <w:lang w:val="en"/>
        </w:rPr>
        <w:t>Microsoft.Insights</w:t>
      </w:r>
      <w:r>
        <w:rPr>
          <w:rFonts w:ascii="Segoe UI" w:hAnsi="Segoe UI" w:cs="Segoe UI"/>
          <w:color w:val="1B2430"/>
          <w:sz w:val="21"/>
          <w:szCs w:val="21"/>
          <w:lang w:val="en"/>
        </w:rPr>
        <w:t>, without which diagnostic and Key Vault audit logging fails validation), a Log Analytics workspace, a Key Vault, a witness storage account, a spoke network peered to the hub, tags and a policy scope, and budgets. Choose a supported region; the cluster transfers little data, so proximity matters less than policy and cost.</w:t>
      </w:r>
    </w:p>
    <w:p w:rsidR="00FA11DE" w:rsidRDefault="00FA11DE">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Naming standard</w:t>
      </w:r>
      <w:r>
        <w:rPr>
          <w:rFonts w:ascii="Segoe UI" w:hAnsi="Segoe UI" w:cs="Segoe UI"/>
          <w:color w:val="1B2430"/>
          <w:sz w:val="21"/>
          <w:szCs w:val="21"/>
          <w:lang w:val="en"/>
        </w:rPr>
        <w:t xml:space="preserve"> (example for IIC): </w:t>
      </w:r>
      <w:r>
        <w:rPr>
          <w:rStyle w:val="HTMLCode"/>
          <w:color w:val="1B2430"/>
          <w:lang w:val="en"/>
        </w:rPr>
        <w:t>&lt;type&gt;-iic-&lt;site&gt;-&lt;purpose&gt;-&lt;region&gt;-&lt;nn&gt;</w:t>
      </w:r>
      <w:r>
        <w:rPr>
          <w:rFonts w:ascii="Segoe UI" w:hAnsi="Segoe UI" w:cs="Segoe UI"/>
          <w:color w:val="1B2430"/>
          <w:sz w:val="21"/>
          <w:szCs w:val="21"/>
          <w:lang w:val="en"/>
        </w:rPr>
        <w:t xml:space="preserve">, for example </w:t>
      </w:r>
      <w:r>
        <w:rPr>
          <w:rStyle w:val="HTMLCode"/>
          <w:color w:val="1B2430"/>
          <w:lang w:val="en"/>
        </w:rPr>
        <w:t>rg-iic-site01-azl-eus-01</w:t>
      </w:r>
      <w:r>
        <w:rPr>
          <w:rFonts w:ascii="Segoe UI" w:hAnsi="Segoe UI" w:cs="Segoe UI"/>
          <w:color w:val="1B2430"/>
          <w:sz w:val="21"/>
          <w:szCs w:val="21"/>
          <w:lang w:val="en"/>
        </w:rPr>
        <w:t>. Decide the site token and the region abbreviation once; the same standard applies to every resource.</w:t>
      </w:r>
    </w:p>
    <w:p w:rsidR="00FA11DE" w:rsidRDefault="00FA11DE">
      <w:pPr>
        <w:pStyle w:val="Heading2"/>
        <w:rPr>
          <w:rFonts w:ascii="Segoe UI" w:eastAsia="Times New Roman" w:hAnsi="Segoe UI" w:cs="Segoe UI"/>
          <w:lang w:val="en"/>
        </w:rPr>
      </w:pPr>
      <w:r>
        <w:rPr>
          <w:rFonts w:ascii="Segoe UI" w:eastAsia="Times New Roman" w:hAnsi="Segoe UI" w:cs="Segoe UI"/>
          <w:lang w:val="en"/>
        </w:rPr>
        <w:t>Decision 8: Business continuity and operations requirements</w:t>
      </w:r>
    </w:p>
    <w:tbl>
      <w:tblPr>
        <w:tblW w:w="5000" w:type="pct"/>
        <w:tblCellMar>
          <w:top w:w="15" w:type="dxa"/>
          <w:left w:w="15" w:type="dxa"/>
          <w:bottom w:w="15" w:type="dxa"/>
          <w:right w:w="15" w:type="dxa"/>
        </w:tblCellMar>
        <w:tblLook w:val="04A0" w:firstRow="1" w:lastRow="0" w:firstColumn="1" w:lastColumn="0" w:noHBand="0" w:noVBand="1"/>
      </w:tblPr>
      <w:tblGrid>
        <w:gridCol w:w="1305"/>
        <w:gridCol w:w="8039"/>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FA11DE" w:rsidRDefault="00FA11DE">
            <w:pPr>
              <w:spacing w:before="120" w:after="200"/>
              <w:rPr>
                <w:rFonts w:eastAsia="Times New Roman"/>
                <w:sz w:val="20"/>
                <w:szCs w:val="20"/>
              </w:rPr>
            </w:pP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What does the customer lose when a node, a volume or the whole site fails, and how fast must it return?</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Backup only; backup plus Azure Site Recovery to Azure; Hyper-V Replica to a second cluster; none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FA11DE" w:rsidRDefault="00FA11DE">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Backup for all tiers; Site Recovery to Azure for tier-1 workloads with a quarterly test failover</w:t>
            </w:r>
          </w:p>
        </w:tc>
      </w:tr>
    </w:tbl>
    <w:p w:rsidR="00FA11DE" w:rsidRDefault="00FA11DE">
      <w:pPr>
        <w:pStyle w:val="NormalWeb"/>
        <w:rPr>
          <w:rFonts w:ascii="Segoe UI" w:hAnsi="Segoe UI" w:cs="Segoe UI"/>
          <w:color w:val="1B2430"/>
          <w:sz w:val="21"/>
          <w:szCs w:val="21"/>
          <w:lang w:val="en"/>
        </w:rPr>
      </w:pPr>
      <w:r>
        <w:rPr>
          <w:rFonts w:ascii="Segoe UI" w:hAnsi="Segoe UI" w:cs="Segoe UI"/>
          <w:color w:val="1B2430"/>
          <w:sz w:val="21"/>
          <w:szCs w:val="21"/>
          <w:lang w:val="en"/>
        </w:rPr>
        <w:t>Facts: backup is recovery in hours and replication is continuity in minutes; neither replaces the other. For Azure Local VMs, Microsoft Learn documents two backup routes: Azure Backup Server (host-level or guest-level, with long-term retention in a Recovery Services vault) or a supported partner product; choose by the tier requirements (</w:t>
      </w:r>
      <w:hyperlink r:id="rId5" w:history="1">
        <w:r>
          <w:rPr>
            <w:rStyle w:val="Hyperlink"/>
            <w:rFonts w:ascii="Segoe UI" w:hAnsi="Segoe UI" w:cs="Segoe UI"/>
            <w:sz w:val="21"/>
            <w:szCs w:val="21"/>
            <w:lang w:val="en"/>
          </w:rPr>
          <w:t>VM resiliency for Azure Local</w:t>
        </w:r>
      </w:hyperlink>
      <w:r>
        <w:rPr>
          <w:rFonts w:ascii="Segoe UI" w:hAnsi="Segoe UI" w:cs="Segoe UI"/>
          <w:color w:val="1B2430"/>
          <w:sz w:val="21"/>
          <w:szCs w:val="21"/>
          <w:lang w:val="en"/>
        </w:rPr>
        <w:t xml:space="preserve">). Site Recovery can reach a recovery point objective as low as 30 seconds. The Site Recovery extension for Azure Local is documented as </w:t>
      </w:r>
      <w:r>
        <w:rPr>
          <w:rStyle w:val="Strong"/>
          <w:rFonts w:ascii="Segoe UI" w:hAnsi="Segoe UI" w:cs="Segoe UI"/>
          <w:color w:val="1B2430"/>
          <w:sz w:val="21"/>
          <w:szCs w:val="21"/>
          <w:lang w:val="en"/>
        </w:rPr>
        <w:t>preview and for test environments</w:t>
      </w:r>
      <w:r>
        <w:rPr>
          <w:rFonts w:ascii="Segoe UI" w:hAnsi="Segoe UI" w:cs="Segoe UI"/>
          <w:color w:val="1B2430"/>
          <w:sz w:val="21"/>
          <w:szCs w:val="21"/>
          <w:lang w:val="en"/>
        </w:rPr>
        <w:t>; for production, configure Site Recovery manually with the Hyper-V to Azure option. Confirm the status on the day you design. Restoring or failing back an Azure Local VM to a different cluster returns it as an unmanaged VM until it is re-registered.</w:t>
      </w:r>
    </w:p>
    <w:p w:rsidR="00FA11DE" w:rsidRDefault="00FA11DE">
      <w:pPr>
        <w:pStyle w:val="NormalWeb"/>
        <w:rPr>
          <w:rFonts w:ascii="Segoe UI" w:hAnsi="Segoe UI" w:cs="Segoe UI"/>
          <w:color w:val="1B2430"/>
          <w:sz w:val="21"/>
          <w:szCs w:val="21"/>
          <w:lang w:val="en"/>
        </w:rPr>
      </w:pPr>
      <w:r>
        <w:rPr>
          <w:rFonts w:ascii="Segoe UI" w:hAnsi="Segoe UI" w:cs="Segoe UI"/>
          <w:color w:val="1B2430"/>
          <w:sz w:val="21"/>
          <w:szCs w:val="21"/>
          <w:lang w:val="en"/>
        </w:rPr>
        <w:t>Operations requirements to decide now and build later: monitoring scope and cost ceiling, maintenance windows for guests and for the cluster, the security baseline and policy scope, the support model and escalation, and which team owns which update plane.</w:t>
      </w:r>
    </w:p>
    <w:p w:rsidR="00FA11DE" w:rsidRDefault="00FA11DE">
      <w:pPr>
        <w:pStyle w:val="Heading2"/>
        <w:rPr>
          <w:rFonts w:ascii="Segoe UI" w:eastAsia="Times New Roman" w:hAnsi="Segoe UI" w:cs="Segoe UI"/>
          <w:lang w:val="en"/>
        </w:rPr>
      </w:pPr>
      <w:r>
        <w:rPr>
          <w:rFonts w:ascii="Segoe UI" w:eastAsia="Times New Roman" w:hAnsi="Segoe UI" w:cs="Segoe UI"/>
          <w:lang w:val="en"/>
        </w:rPr>
        <w:t>The planning gate</w:t>
      </w:r>
    </w:p>
    <w:p w:rsidR="00FA11DE" w:rsidRDefault="00FA11DE">
      <w:pPr>
        <w:pStyle w:val="NormalWeb"/>
        <w:rPr>
          <w:rFonts w:ascii="Segoe UI" w:hAnsi="Segoe UI" w:cs="Segoe UI"/>
          <w:color w:val="1B2430"/>
          <w:sz w:val="21"/>
          <w:szCs w:val="21"/>
          <w:lang w:val="en"/>
        </w:rPr>
      </w:pPr>
      <w:r>
        <w:rPr>
          <w:rFonts w:ascii="Segoe UI" w:hAnsi="Segoe UI" w:cs="Segoe UI"/>
          <w:color w:val="1B2430"/>
          <w:sz w:val="21"/>
          <w:szCs w:val="21"/>
          <w:lang w:val="en"/>
        </w:rPr>
        <w:t>Deploy starts only when every item exists:</w:t>
      </w:r>
    </w:p>
    <w:p w:rsidR="00FA11DE" w:rsidRDefault="00FA11DE">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Discovery questionnaire complete</w:t>
      </w:r>
    </w:p>
    <w:p w:rsidR="00FA11DE" w:rsidRDefault="00FA11DE">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Workload inventory and sizing, with missing evidence recorded as assumptions</w:t>
      </w:r>
    </w:p>
    <w:p w:rsidR="00FA11DE" w:rsidRDefault="00FA11DE">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Release decision and version manifest</w:t>
      </w:r>
    </w:p>
    <w:p w:rsidR="00FA11DE" w:rsidRDefault="00FA11DE">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Hardware decision, bill of materials and firmware baseline</w:t>
      </w:r>
    </w:p>
    <w:p w:rsidR="00FA11DE" w:rsidRDefault="00FA11DE">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Topology and quorum decision</w:t>
      </w:r>
    </w:p>
    <w:p w:rsidR="00FA11DE" w:rsidRDefault="00FA11DE">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Site assessment and per-node cabling and port map</w:t>
      </w:r>
    </w:p>
    <w:p w:rsidR="00FA11DE" w:rsidRDefault="00FA11DE">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Connectivity design: outbound topology, allow-list, proxy, DNS and NTP, IP plan</w:t>
      </w:r>
    </w:p>
    <w:p w:rsidR="00FA11DE" w:rsidRDefault="00FA11DE">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Network design: VLANs, intents, switch configurations</w:t>
      </w:r>
    </w:p>
    <w:p w:rsidR="00FA11DE" w:rsidRDefault="00FA11DE">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Identity and access design</w:t>
      </w:r>
    </w:p>
    <w:p w:rsidR="00FA11DE" w:rsidRDefault="00FA11DE">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Landing zone design and naming standard</w:t>
      </w:r>
    </w:p>
    <w:p w:rsidR="00FA11DE" w:rsidRDefault="00FA11DE">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Business continuity plan: backup, DR, recovery point and recovery time objectives</w:t>
      </w:r>
    </w:p>
    <w:p w:rsidR="00FA11DE" w:rsidRDefault="00FA11DE">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Operations requirements</w:t>
      </w:r>
    </w:p>
    <w:p w:rsidR="00FA11DE" w:rsidRDefault="00FA11DE">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High-level and low-level design and decision records</w:t>
      </w:r>
    </w:p>
    <w:p w:rsidR="00FA11DE" w:rsidRDefault="00FA11DE">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Deployment configuration file populated and reviewed</w:t>
      </w:r>
    </w:p>
    <w:sectPr w:rsidR="00FA11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1138F"/>
    <w:multiLevelType w:val="multilevel"/>
    <w:tmpl w:val="119CF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CF302C3"/>
    <w:multiLevelType w:val="multilevel"/>
    <w:tmpl w:val="3852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9468808">
    <w:abstractNumId w:val="0"/>
  </w:num>
  <w:num w:numId="2" w16cid:durableId="4375319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74806"/>
    <w:rsid w:val="00D74806"/>
    <w:rsid w:val="00F673E1"/>
    <w:rsid w:val="00FA11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2EE58096-598E-48D7-9B55-9DE7A9662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paragraph" w:customStyle="1" w:styleId="task-list-item">
    <w:name w:val="task-list-item"/>
    <w:basedOn w:val="Normal"/>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azure/azure-local/manage/disaster-recovery-vm-resilienc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2362</Words>
  <Characters>13465</Characters>
  <Application>Microsoft Office Word</Application>
  <DocSecurity>4</DocSecurity>
  <Lines>112</Lines>
  <Paragraphs>31</Paragraphs>
  <ScaleCrop>false</ScaleCrop>
  <Company/>
  <LinksUpToDate>false</LinksUpToDate>
  <CharactersWithSpaces>15796</CharactersWithSpaces>
  <SharedDoc>false</SharedDoc>
  <HyperlinkBase>D:\git\thisismydemo\nic2026_azl\handouts\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Local: Planning and Design Decisions</dc:title>
  <dc:subject/>
  <dc:creator>Kristopher Turner</dc:creator>
  <cp:keywords/>
  <dc:description/>
  <cp:lastModifiedBy>Kristopher Turner</cp:lastModifiedBy>
  <cp:revision>2</cp:revision>
  <dcterms:created xsi:type="dcterms:W3CDTF">2026-10-13T13:57:00Z</dcterms:created>
  <dcterms:modified xsi:type="dcterms:W3CDTF">2026-10-13T13:57:00Z</dcterms:modified>
</cp:coreProperties>
</file>