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56"/>
        </w:rPr>
        <w:t>Estabizz — Repository Audit Documentation</w:t>
      </w:r>
    </w:p>
    <w:p>
      <w:pPr>
        <w:jc w:val="center"/>
      </w:pPr>
      <w:r>
        <w:rPr>
          <w:i/>
          <w:color w:val="555555"/>
          <w:sz w:val="26"/>
        </w:rPr>
        <w:t>Structure Map · File Classification · Duplicate Report · Recommended Structure · Cleanup Plan</w:t>
      </w:r>
    </w:p>
    <w:p>
      <w:pPr>
        <w:jc w:val="center"/>
      </w:pPr>
      <w:r>
        <w:rPr>
          <w:color w:val="777777"/>
          <w:sz w:val="20"/>
        </w:rPr>
        <w:t>Audit date: 2026-07-22 · Branch: main · Commit: 2ff6efa</w:t>
      </w:r>
    </w:p>
    <w:p>
      <w:r>
        <w:br w:type="page"/>
      </w:r>
    </w:p>
    <w:p>
      <w:pPr>
        <w:pStyle w:val="Heading1"/>
      </w:pPr>
      <w:r>
        <w:rPr>
          <w:color w:val="1A56DB"/>
          <w:sz w:val="40"/>
        </w:rPr>
        <w:t>Documents in This File</w:t>
      </w:r>
    </w:p>
    <w:p>
      <w:r>
        <w:rPr>
          <w:b/>
          <w:sz w:val="24"/>
        </w:rPr>
        <w:t>1. Repository Structure Map</w:t>
      </w:r>
    </w:p>
    <w:p>
      <w:r>
        <w:rPr>
          <w:b/>
          <w:sz w:val="24"/>
        </w:rPr>
        <w:t>2. File Classification Register</w:t>
      </w:r>
    </w:p>
    <w:p>
      <w:r>
        <w:rPr>
          <w:b/>
          <w:sz w:val="24"/>
        </w:rPr>
        <w:t>3. Duplicate and Unused File Report</w:t>
      </w:r>
    </w:p>
    <w:p>
      <w:r>
        <w:rPr>
          <w:b/>
          <w:sz w:val="24"/>
        </w:rPr>
        <w:t>4. Recommended Folder Structure</w:t>
      </w:r>
    </w:p>
    <w:p>
      <w:r>
        <w:rPr>
          <w:b/>
          <w:sz w:val="24"/>
        </w:rPr>
        <w:t>5. Folder Cleanup Plan</w:t>
      </w:r>
    </w:p>
    <w:p>
      <w:r>
        <w:br w:type="page"/>
      </w:r>
    </w:p>
    <w:p>
      <w:pPr>
        <w:pStyle w:val="Heading1"/>
      </w:pPr>
      <w:r>
        <w:rPr>
          <w:color w:val="1A56DB"/>
          <w:sz w:val="40"/>
        </w:rPr>
        <w:t>Estabizz — Repository Structure Map</w:t>
      </w:r>
    </w:p>
    <w:p>
      <w:pPr>
        <w:ind w:left="360"/>
      </w:pPr>
      <w:r>
        <w:rPr>
          <w:i/>
          <w:color w:val="555555"/>
          <w:sz w:val="20"/>
        </w:rPr>
        <w:t>Created: 2026-07-22 · Branch: **main** (confirmed) · Audit commit: **73f04af**</w:t>
      </w:r>
    </w:p>
    <w:p>
      <w:pPr>
        <w:ind w:left="360"/>
      </w:pPr>
      <w:r>
        <w:rPr>
          <w:i/>
          <w:color w:val="555555"/>
          <w:sz w:val="20"/>
        </w:rPr>
        <w:t>Discovery-only document. No files were moved, renamed, or deleted during this audit.</w:t>
      </w:r>
    </w:p>
    <w:p/>
    <w:p>
      <w:pPr>
        <w:pStyle w:val="Heading2"/>
      </w:pPr>
      <w:r>
        <w:rPr>
          <w:color w:val="1E40AF"/>
          <w:sz w:val="30"/>
        </w:rPr>
        <w:t>1. Top-Level Layout</w:t>
      </w:r>
    </w:p>
    <w:p>
      <w:pPr>
        <w:spacing w:before="80" w:after="80"/>
        <w:ind w:left="432"/>
        <w:shd w:val="clear" w:color="auto" w:fill="F0F0F0"/>
      </w:pPr>
      <w:r>
        <w:rPr>
          <w:rFonts w:ascii="Courier New" w:hAnsi="Courier New"/>
          <w:sz w:val="17"/>
        </w:rPr>
        <w:t>/ (project root)</w:t>
        <w:br/>
        <w:t>├── app/                          ← Next.js App Router (all pages + API routes)</w:t>
        <w:br/>
        <w:t>├── components/                   ← Shared React components</w:t>
        <w:br/>
        <w:t>├── lib/                          ← Business logic, models, utilities</w:t>
        <w:br/>
        <w:t>├── scripts/                      ← One-off admin/import scripts (not part of Next.js app)</w:t>
        <w:br/>
        <w:t>├── public/                       ← Static assets served at /</w:t>
        <w:br/>
        <w:t>├── scratch/                      ← EMPTY directory (unused)</w:t>
        <w:br/>
        <w:t>│</w:t>
        <w:br/>
        <w:t>├── proxy.ts                      ← MISNAMED — exports `proxy` fn, not Next.js `middleware`</w:t>
        <w:br/>
        <w:t>├── next.config.js                ← Next.js configuration</w:t>
        <w:br/>
        <w:t>├── postcss.config.js             ← PostCSS (includes tailwindcss + autoprefixer)</w:t>
        <w:br/>
        <w:t>├── tailwind.config.js            ← Tailwind configuration</w:t>
        <w:br/>
        <w:t>├── tsconfig.json                 ← TypeScript compiler config</w:t>
        <w:br/>
        <w:t>├── tsconfig.tsbuildinfo          ← GENERATED — TypeScript incremental build cache</w:t>
        <w:br/>
        <w:t>├── package.json                  ← npm scripts and dependencies</w:t>
        <w:br/>
        <w:t>├── package-lock.json             ← npm lockfile</w:t>
        <w:br/>
        <w:t>├── vercel.json                   ← Vercel deploy configuration</w:t>
        <w:br/>
        <w:t>├── .eslintrc.json                ← ESLint configuration</w:t>
        <w:br/>
        <w:t>├── .gitignore                    ← Git ignore rules</w:t>
        <w:br/>
        <w:t>├── .env.local                    ← Local secrets (never committed; never read by agents)</w:t>
        <w:br/>
        <w:t>│</w:t>
        <w:br/>
        <w:t>├── Estabizz_Project_Documentation.docx  ← UNTRACKED — generated Word file for sharing</w:t>
        <w:br/>
        <w:t>│</w:t>
        <w:br/>
        <w:t>└── [Documentation — 19 .md files at root]</w:t>
        <w:br/>
        <w:t xml:space="preserve">    ├── CMS_STATUS.md             ← Living log of completed work (owner source of truth)</w:t>
        <w:br/>
        <w:t xml:space="preserve">    ├── AGENTS.md                 ← Agent rules (pre-dates canonical docs)</w:t>
        <w:br/>
        <w:t xml:space="preserve">    ├── ESTABIZZ_PROJECT_MASTER_CONTEXT.md</w:t>
        <w:br/>
        <w:t xml:space="preserve">    ├── ESTABIZZ_AGENT_OPERATING_GUIDE.md</w:t>
        <w:br/>
        <w:t xml:space="preserve">    ├── ESTABIZZ_TECHNICAL_ARCHITECTURE.md</w:t>
        <w:br/>
        <w:t xml:space="preserve">    ├── ESTABIZZ_MODULE_INVENTORY.md</w:t>
        <w:br/>
        <w:t xml:space="preserve">    ├── ESTABIZZ_API_DATABASE_MAP.md</w:t>
        <w:br/>
        <w:t xml:space="preserve">    ├── ESTABIZZ_SECURITY_PERMISSION_MAP.md</w:t>
        <w:br/>
        <w:t xml:space="preserve">    ├── ESTABIZZ_CURRENT_COMPLETION_STATUS.md</w:t>
        <w:br/>
        <w:t xml:space="preserve">    ├── ESTABIZZ_TECHNICAL_DEBT_REGISTER.md</w:t>
        <w:br/>
        <w:t xml:space="preserve">    ├── ESTABIZZ_FUTURE_PRODUCT_ROADMAP.md</w:t>
        <w:br/>
        <w:t xml:space="preserve">    ├── ESTABIZZ_NEXT_20_TASKS.md</w:t>
        <w:br/>
        <w:t xml:space="preserve">    ├── ADMIN_OS_DISASTER_RECOVERY.md</w:t>
        <w:br/>
        <w:t xml:space="preserve">    ├── ADMIN_OS_PRODUCTION_READINESS.md</w:t>
        <w:br/>
        <w:t xml:space="preserve">    ├── ADMIN_OS_SECURITY_MATRIX.md</w:t>
        <w:br/>
        <w:t xml:space="preserve">    ├── ADMIN_OS_SEO_DEPLOYMENT_CHECKLIST.md</w:t>
        <w:br/>
        <w:t xml:space="preserve">    ├── ADMIN_OS_STAGING_RELEASE_PACKAGE.md</w:t>
        <w:br/>
        <w:t xml:space="preserve">    ├── SECURITY_INCIDENT_S2.md</w:t>
        <w:br/>
        <w:t xml:space="preserve">    └── [5 new audit docs including this file]</w:t>
      </w:r>
    </w:p>
    <w:p/>
    <w:p>
      <w:pPr>
        <w:pStyle w:val="Heading2"/>
      </w:pPr>
      <w:r>
        <w:rPr>
          <w:color w:val="1E40AF"/>
          <w:sz w:val="30"/>
        </w:rPr>
        <w:t>2. app/ — Next.js App Router</w:t>
      </w:r>
    </w:p>
    <w:p>
      <w:pPr>
        <w:spacing w:before="80" w:after="80"/>
        <w:ind w:left="432"/>
        <w:shd w:val="clear" w:color="auto" w:fill="F0F0F0"/>
      </w:pPr>
      <w:r>
        <w:rPr>
          <w:rFonts w:ascii="Courier New" w:hAnsi="Courier New"/>
          <w:sz w:val="17"/>
        </w:rPr>
        <w:t>app/</w:t>
        <w:br/>
        <w:t>├── layout.tsx                    ← Root layout (Navbar, Footer, CSS imports, Analytics)</w:t>
        <w:br/>
        <w:t>├── page.tsx                      ← Homepage</w:t>
        <w:br/>
        <w:t>├── globals.css                   ← Tailwind source CSS</w:t>
        <w:br/>
        <w:t>├── robots.ts                     ← robots.txt generator</w:t>
        <w:br/>
        <w:t>├── sitemap.ts                    ← sitemap.xml generator</w:t>
        <w:br/>
        <w:t>├── apple-icon.png                ← PWA icon</w:t>
        <w:br/>
        <w:t>├── icon.png                      ← Favicon fallback</w:t>
        <w:br/>
        <w:t>├── opengraph-image.png           ← OG image</w:t>
        <w:br/>
        <w:t>├── twitter-image.png             ← Twitter card image</w:t>
        <w:br/>
        <w:t>│</w:t>
        <w:br/>
        <w:t>├── admin/                        ← Admin OS (all routes require auth JWT cookie)</w:t>
        <w:br/>
        <w:t>│   ├── layout.tsx                ← Admin shell layout (auth gate)</w:t>
        <w:br/>
        <w:t>│   ├── page.tsx                  ← Dashboard</w:t>
        <w:br/>
        <w:t>│   ├── AdminDashboardClient.tsx</w:t>
        <w:br/>
        <w:t>│   ├── AdminShell.tsx</w:t>
        <w:br/>
        <w:t>│   ├── approval-queue/           ← Review + approve/reject content changes</w:t>
        <w:br/>
        <w:t>│   ├── authors/                  ← Placeholder UI (not implemented)</w:t>
        <w:br/>
        <w:t>│   ├── backups/                  ← MongoDB backup + GitHub push</w:t>
        <w:br/>
        <w:t>│   ├── blogs/                    ← Blog CRUD + Word import</w:t>
        <w:br/>
        <w:t>│   │   ├── _components/          ← Editor components (TipTap, Word import, uploader)</w:t>
        <w:br/>
        <w:t>│   │   ├── edit/[id]/            ← Edit existing blog</w:t>
        <w:br/>
        <w:t>│   │   ├── new/                  ← Create new blog</w:t>
        <w:br/>
        <w:t>│   │   └── pending/              ← Pending approval queue</w:t>
        <w:br/>
        <w:t>│   ├── categories/               ← Placeholder UI (categories are hardcoded)</w:t>
        <w:br/>
        <w:t>│   ├── change-history/           ← Content change history log</w:t>
        <w:br/>
        <w:t>│   ├── content-pages/            ← CMS content page inventory + editor</w:t>
        <w:br/>
        <w:t>│   │   ├── [slug]/edit/          ← Generic edit shell (most are stub)</w:t>
        <w:br/>
        <w:t>│   │   └── nbfc-registration-in-india/edit/  ← Only fully-implemented editor</w:t>
        <w:br/>
        <w:t>│   ├── leads/                    ← Lead management</w:t>
        <w:br/>
        <w:t>│   ├── media/                    ← REDIRECT ALIAS → /admin/media-library</w:t>
        <w:br/>
        <w:t>│   ├── media-library/            ← Canonical media library</w:t>
        <w:br/>
        <w:t>│   ├── navigation/               ← Navbar + Footer editor</w:t>
        <w:br/>
        <w:t>│   ├── recycle-bin/              ← Deleted content management</w:t>
        <w:br/>
        <w:t>│   ├── regulatory-updates/       ← Regulatory updates desk</w:t>
        <w:br/>
        <w:t>│   ├── restore/                  ← Restore from backup</w:t>
        <w:br/>
        <w:t>│   ├── seo/                      ← Page SEO editor</w:t>
        <w:br/>
        <w:t>│   ├── settings/                 ← Placeholder UI (not implemented)</w:t>
        <w:br/>
        <w:t>│   ├── users/                    ← User + role management</w:t>
        <w:br/>
        <w:t>│   └── website/                  ← Homepage section CMS (17 sections)</w:t>
        <w:br/>
        <w:t>│       └── [pageId]/             ← Per-section editors</w:t>
        <w:br/>
        <w:t>│</w:t>
        <w:br/>
        <w:t>├── api/                          ← API routes</w:t>
        <w:br/>
        <w:t>│   ├── admin/                    ← Admin-protected endpoints</w:t>
        <w:br/>
        <w:t>│   │   ├── approval-queue/       ← Content approval flow</w:t>
        <w:br/>
        <w:t>│   │   ├── backups/              ← Backup CRUD + download</w:t>
        <w:br/>
        <w:t>│   │   ├── blogs/                ← Blog CRUD + status transitions</w:t>
        <w:br/>
        <w:t>│   │   │   ├── save/             ← ⚠️ requireAdmin (should be requirePermission)</w:t>
        <w:br/>
        <w:t>│   │   │   ├── [id]/             ← ⚠️ requireAdmin (should be requirePermission)</w:t>
        <w:br/>
        <w:t>│   │   │   ├── [id]/status/      ← ⚠️ requireAdmin (should be requirePermission)</w:t>
        <w:br/>
        <w:t>│   │   │   └── featured/         ← Blog featured flag</w:t>
        <w:br/>
        <w:t>│   │   ├── change-history/       ← History log</w:t>
        <w:br/>
        <w:t>│   │   ├── content/              ← Homepage CMS content blocks</w:t>
        <w:br/>
        <w:t>│   │   ├── content-pages/        ← CMS public page CRUD</w:t>
        <w:br/>
        <w:t>│   │   ├── leads/[id]/           ← ⚠️ requireAdmin (should be requirePermission)</w:t>
        <w:br/>
        <w:t>│   │   ├── media/                ← Idempotent media upsert + delete</w:t>
        <w:br/>
        <w:t>│   │   ├── recycle-bin/          ← Recycle bin management</w:t>
        <w:br/>
        <w:t>│   │   ├── regulatory-updates/   ← Regulatory update lifecycle</w:t>
        <w:br/>
        <w:t>│   │   ├── restore/              ← Restore actions</w:t>
        <w:br/>
        <w:t>│   │   └── users/                ← Admin user CRUD</w:t>
        <w:br/>
        <w:t>│   ├── auth/                     ← Public auth endpoints</w:t>
        <w:br/>
        <w:t>│   │   ├── login/                ← ⚠️ No rate limiting (TD-001)</w:t>
        <w:br/>
        <w:t>│   │   ├── logout/</w:t>
        <w:br/>
        <w:t>│   │   ├── me/</w:t>
        <w:br/>
        <w:t>│   │   └── signup/</w:t>
        <w:br/>
        <w:t>│   ├── chat/                     ← ⚠️ NO AUTH — AI endpoint (dormant)</w:t>
        <w:br/>
        <w:t>│   ├── leads/                    ← Public lead capture</w:t>
        <w:br/>
        <w:t>│   ├── my-blogs/[id]/            ← User's own blog management</w:t>
        <w:br/>
        <w:t>│   ├── recommend-services/       ← ⚠️ NO AUTH — AI endpoint (dormant)</w:t>
        <w:br/>
        <w:t>│   ├── regulatory-updates/       ← Public regulatory updates feed</w:t>
        <w:br/>
        <w:t>│   └── submit-blog/              ← Public blog submission</w:t>
        <w:br/>
        <w:t>│</w:t>
        <w:br/>
        <w:t>├── 19-5/                         ← 19-5 company registration landing pages (static)</w:t>
        <w:br/>
        <w:t>│   ├── page.tsx                  ← Hub</w:t>
        <w:br/>
        <w:t>│   └── [slug]/page.tsx           ← Individual landing pages (20 types)</w:t>
        <w:br/>
        <w:t>│</w:t>
        <w:br/>
        <w:t>├── blogs/                        ← Public blog section</w:t>
        <w:br/>
        <w:t>│   ├── page.tsx</w:t>
        <w:br/>
        <w:t>│   ├── BlogsClient.tsx</w:t>
        <w:br/>
        <w:t>│   ├── [slug]/                   ← Blog detail</w:t>
        <w:br/>
        <w:t>│   └── category/[slug]/          ← Blog category listing</w:t>
        <w:br/>
        <w:t>│</w:t>
        <w:br/>
        <w:t>├── contact/                      ← Contact form</w:t>
        <w:br/>
        <w:t>├── fema/                         ← FEMA hub + 2 service pages</w:t>
        <w:br/>
        <w:t>├── get-started/                  ← Lead capture form</w:t>
        <w:br/>
        <w:t>│</w:t>
        <w:br/>
        <w:t>├── ifsca/                        ← IFSCA hub (15 routes total)</w:t>
        <w:br/>
        <w:t>│   ├── page.tsx                  ← IFSCA hub</w:t>
        <w:br/>
        <w:t>│   ├── [7 canonical content routes with PageClient.tsx]</w:t>
        <w:br/>
        <w:t>│   └── [7 redirect-only aliases — see §3]</w:t>
        <w:br/>
        <w:t>│</w:t>
        <w:br/>
        <w:t>├── irdai/                        ← IRDAI hub (12 content routes)</w:t>
        <w:br/>
        <w:t>├── legal/                        ← Privacy, refund, terms pages</w:t>
        <w:br/>
        <w:t>├── login/                        ← Admin login</w:t>
        <w:br/>
        <w:t>├── my-blogs/                     ← User's submitted blogs</w:t>
        <w:br/>
        <w:t>│</w:t>
        <w:br/>
        <w:t>├── rbi/                          ← RBI hub (17 content routes)</w:t>
        <w:br/>
        <w:t>│</w:t>
        <w:br/>
        <w:t>├── regulatory/                   ← Legacy article-style pages</w:t>
        <w:br/>
        <w:t>│   ├── page.tsx                  ← Legacy regulatory hub (partially maintained)</w:t>
        <w:br/>
        <w:t>│   ├── finance-company-gift-ifsc/← Legacy article</w:t>
        <w:br/>
        <w:t>│   ├── ifsca-factoring-license-gift-city/ ← Legacy article</w:t>
        <w:br/>
        <w:t>│   └── psp-license-ifsca/        ← REDIRECT → /ifsca/psp-license-ifsca</w:t>
        <w:br/>
        <w:t>│</w:t>
        <w:br/>
        <w:t>├── resources/                    ← Resources hub</w:t>
        <w:br/>
        <w:t>│   ├── page.tsx                  ← Resources listing</w:t>
        <w:br/>
        <w:t>│   ├── circular-explainers/      ← Placeholder</w:t>
        <w:br/>
        <w:t>│   ├── compliance-calendar/      ← Placeholder</w:t>
        <w:br/>
        <w:t>│   ├── content-rebuild-command/  ← ⚠️ Internal tool page — publicly accessible (TD-006)</w:t>
        <w:br/>
        <w:t>│   ├── faqs/                     ← FAQ page</w:t>
        <w:br/>
        <w:t>│   ├── regulatory-update-email-template/ ← Internal template — publicly accessible</w:t>
        <w:br/>
        <w:t>│   ├── regulatory-updates/       ← CMS-driven regulatory updates (public)</w:t>
        <w:br/>
        <w:t>│   └── service-page-content-framework/  ← Internal reference — publicly accessible</w:t>
        <w:br/>
        <w:t>│</w:t>
        <w:br/>
        <w:t>├── sebi/                         ← SEBI hub (22 routes total)</w:t>
        <w:br/>
        <w:t>│   ├── page.tsx                  ← SEBI hub</w:t>
        <w:br/>
        <w:t>│   ├── [14 canonical content routes with PageClient.tsx]</w:t>
        <w:br/>
        <w:t>│   └── [8 redirect-only aliases — see §3]</w:t>
        <w:br/>
        <w:t>│</w:t>
        <w:br/>
        <w:t>├── services/                     ← Services hub (15 content routes)</w:t>
        <w:br/>
        <w:t>│</w:t>
        <w:br/>
        <w:t>├── signup/                       ← Public user signup</w:t>
        <w:br/>
        <w:t>├── submit-blog/                  ← Public blog submission form</w:t>
        <w:br/>
        <w:t>│</w:t>
        <w:br/>
        <w:t>└── proposal-template/            ← Internal proposal template page (publicly accessible)</w:t>
      </w:r>
    </w:p>
    <w:p/>
    <w:p>
      <w:pPr>
        <w:pStyle w:val="Heading2"/>
      </w:pPr>
      <w:r>
        <w:rPr>
          <w:color w:val="1E40AF"/>
          <w:sz w:val="30"/>
        </w:rPr>
        <w:t>3. Redirect-Only Routes (No Content — Pure Redirect)</w:t>
      </w:r>
    </w:p>
    <w:p>
      <w:r>
        <w:rPr>
          <w:sz w:val="22"/>
        </w:rPr>
        <w:t>These routes exist only to forward old/alias URLs to canonical long-slug URLs. They contain no UI or data.</w:t>
      </w:r>
    </w:p>
    <w:p>
      <w:pPr>
        <w:pStyle w:val="Heading3"/>
      </w:pPr>
      <w:r>
        <w:rPr>
          <w:color w:val="1D4E89"/>
          <w:sz w:val="26"/>
        </w:rPr>
        <w:t>SEBI (8 redirect aliases)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Route file</w:t>
            </w:r>
          </w:p>
        </w:tc>
        <w:tc>
          <w:tcPr>
            <w:tcW w:type="dxa" w:w="4320"/>
          </w:tcPr>
          <w:p>
            <w:r>
              <w:rPr>
                <w:b/>
                <w:sz w:val="19"/>
              </w:rPr>
              <w:t>Redirects to</w:t>
            </w:r>
          </w:p>
        </w:tc>
      </w:tr>
      <w:tr>
        <w:tc>
          <w:tcPr>
            <w:tcW w:type="dxa" w:w="4320"/>
          </w:tcPr>
          <w:p>
            <w:r>
              <w:rPr>
                <w:sz w:val="19"/>
              </w:rPr>
            </w:r>
            <w:r>
              <w:rPr>
                <w:rFonts w:ascii="Courier New" w:hAnsi="Courier New"/>
                <w:sz w:val="20"/>
              </w:rPr>
              <w:t>app/sebi/investment-adviser-registration/page.tsx</w:t>
            </w:r>
            <w:r>
              <w:rPr>
                <w:sz w:val="22"/>
              </w:rPr>
            </w:r>
          </w:p>
        </w:tc>
        <w:tc>
          <w:tcPr>
            <w:tcW w:type="dxa" w:w="4320"/>
          </w:tcPr>
          <w:p>
            <w:r>
              <w:rPr>
                <w:sz w:val="19"/>
              </w:rPr>
            </w:r>
            <w:r>
              <w:rPr>
                <w:rFonts w:ascii="Courier New" w:hAnsi="Courier New"/>
                <w:sz w:val="20"/>
              </w:rPr>
              <w:t>/sebi/ria-registration-in-india</w:t>
            </w:r>
            <w:r>
              <w:rPr>
                <w:sz w:val="22"/>
              </w:rPr>
            </w:r>
          </w:p>
        </w:tc>
      </w:tr>
      <w:tr>
        <w:tc>
          <w:tcPr>
            <w:tcW w:type="dxa" w:w="4320"/>
          </w:tcPr>
          <w:p>
            <w:r>
              <w:rPr>
                <w:sz w:val="19"/>
              </w:rPr>
            </w:r>
            <w:r>
              <w:rPr>
                <w:rFonts w:ascii="Courier New" w:hAnsi="Courier New"/>
                <w:sz w:val="20"/>
              </w:rPr>
              <w:t>app/sebi/portfolio-manager-registration/page.tsx</w:t>
            </w:r>
            <w:r>
              <w:rPr>
                <w:sz w:val="22"/>
              </w:rPr>
            </w:r>
          </w:p>
        </w:tc>
        <w:tc>
          <w:tcPr>
            <w:tcW w:type="dxa" w:w="4320"/>
          </w:tcPr>
          <w:p>
            <w:r>
              <w:rPr>
                <w:sz w:val="19"/>
              </w:rPr>
            </w:r>
            <w:r>
              <w:rPr>
                <w:rFonts w:ascii="Courier New" w:hAnsi="Courier New"/>
                <w:sz w:val="20"/>
              </w:rPr>
              <w:t>/sebi/pms-registration-in-india</w:t>
            </w:r>
            <w:r>
              <w:rPr>
                <w:sz w:val="22"/>
              </w:rPr>
            </w:r>
          </w:p>
        </w:tc>
      </w:tr>
      <w:tr>
        <w:tc>
          <w:tcPr>
            <w:tcW w:type="dxa" w:w="4320"/>
          </w:tcPr>
          <w:p>
            <w:r>
              <w:rPr>
                <w:sz w:val="19"/>
              </w:rPr>
            </w:r>
            <w:r>
              <w:rPr>
                <w:rFonts w:ascii="Courier New" w:hAnsi="Courier New"/>
                <w:sz w:val="20"/>
              </w:rPr>
              <w:t>app/sebi/research-analyst-registration/page.tsx</w:t>
            </w:r>
            <w:r>
              <w:rPr>
                <w:sz w:val="22"/>
              </w:rPr>
            </w:r>
          </w:p>
        </w:tc>
        <w:tc>
          <w:tcPr>
            <w:tcW w:type="dxa" w:w="4320"/>
          </w:tcPr>
          <w:p>
            <w:r>
              <w:rPr>
                <w:sz w:val="19"/>
              </w:rPr>
            </w:r>
            <w:r>
              <w:rPr>
                <w:rFonts w:ascii="Courier New" w:hAnsi="Courier New"/>
                <w:sz w:val="20"/>
              </w:rPr>
              <w:t>/sebi/research-analyst-registration-in-india</w:t>
            </w:r>
            <w:r>
              <w:rPr>
                <w:sz w:val="22"/>
              </w:rPr>
            </w:r>
          </w:p>
        </w:tc>
      </w:tr>
      <w:tr>
        <w:tc>
          <w:tcPr>
            <w:tcW w:type="dxa" w:w="4320"/>
          </w:tcPr>
          <w:p>
            <w:r>
              <w:rPr>
                <w:sz w:val="19"/>
              </w:rPr>
            </w:r>
            <w:r>
              <w:rPr>
                <w:rFonts w:ascii="Courier New" w:hAnsi="Courier New"/>
                <w:sz w:val="20"/>
              </w:rPr>
              <w:t>app/sebi/sebi-ria-registration/page.tsx</w:t>
            </w:r>
            <w:r>
              <w:rPr>
                <w:sz w:val="22"/>
              </w:rPr>
            </w:r>
          </w:p>
        </w:tc>
        <w:tc>
          <w:tcPr>
            <w:tcW w:type="dxa" w:w="4320"/>
          </w:tcPr>
          <w:p>
            <w:r>
              <w:rPr>
                <w:sz w:val="19"/>
              </w:rPr>
            </w:r>
            <w:r>
              <w:rPr>
                <w:rFonts w:ascii="Courier New" w:hAnsi="Courier New"/>
                <w:sz w:val="20"/>
              </w:rPr>
              <w:t>/sebi/ria-registration-in-india</w:t>
            </w:r>
            <w:r>
              <w:rPr>
                <w:sz w:val="22"/>
              </w:rPr>
            </w:r>
          </w:p>
        </w:tc>
      </w:tr>
      <w:tr>
        <w:tc>
          <w:tcPr>
            <w:tcW w:type="dxa" w:w="4320"/>
          </w:tcPr>
          <w:p>
            <w:r>
              <w:rPr>
                <w:sz w:val="19"/>
              </w:rPr>
            </w:r>
            <w:r>
              <w:rPr>
                <w:rFonts w:ascii="Courier New" w:hAnsi="Courier New"/>
                <w:sz w:val="20"/>
              </w:rPr>
              <w:t>app/sebi/sebi-stock-broker-registration/page.tsx</w:t>
            </w:r>
            <w:r>
              <w:rPr>
                <w:sz w:val="22"/>
              </w:rPr>
            </w:r>
          </w:p>
        </w:tc>
        <w:tc>
          <w:tcPr>
            <w:tcW w:type="dxa" w:w="4320"/>
          </w:tcPr>
          <w:p>
            <w:r>
              <w:rPr>
                <w:sz w:val="19"/>
              </w:rPr>
            </w:r>
            <w:r>
              <w:rPr>
                <w:rFonts w:ascii="Courier New" w:hAnsi="Courier New"/>
                <w:sz w:val="20"/>
              </w:rPr>
              <w:t>/sebi/stock-broker-registration-in-india</w:t>
            </w:r>
            <w:r>
              <w:rPr>
                <w:sz w:val="22"/>
              </w:rPr>
            </w:r>
          </w:p>
        </w:tc>
      </w:tr>
      <w:tr>
        <w:tc>
          <w:tcPr>
            <w:tcW w:type="dxa" w:w="4320"/>
          </w:tcPr>
          <w:p>
            <w:r>
              <w:rPr>
                <w:sz w:val="19"/>
              </w:rPr>
            </w:r>
            <w:r>
              <w:rPr>
                <w:rFonts w:ascii="Courier New" w:hAnsi="Courier New"/>
                <w:sz w:val="20"/>
              </w:rPr>
              <w:t>app/sebi/social-stock-exchange-license/page.tsx</w:t>
            </w:r>
            <w:r>
              <w:rPr>
                <w:sz w:val="22"/>
              </w:rPr>
            </w:r>
          </w:p>
        </w:tc>
        <w:tc>
          <w:tcPr>
            <w:tcW w:type="dxa" w:w="4320"/>
          </w:tcPr>
          <w:p>
            <w:r>
              <w:rPr>
                <w:sz w:val="19"/>
              </w:rPr>
            </w:r>
            <w:r>
              <w:rPr>
                <w:rFonts w:ascii="Courier New" w:hAnsi="Courier New"/>
                <w:sz w:val="20"/>
              </w:rPr>
              <w:t>/sebi/social-stock-exchange-license-india</w:t>
            </w:r>
            <w:r>
              <w:rPr>
                <w:sz w:val="22"/>
              </w:rPr>
            </w:r>
          </w:p>
        </w:tc>
      </w:tr>
      <w:tr>
        <w:tc>
          <w:tcPr>
            <w:tcW w:type="dxa" w:w="4320"/>
          </w:tcPr>
          <w:p>
            <w:r>
              <w:rPr>
                <w:sz w:val="19"/>
              </w:rPr>
            </w:r>
            <w:r>
              <w:rPr>
                <w:rFonts w:ascii="Courier New" w:hAnsi="Courier New"/>
                <w:sz w:val="20"/>
              </w:rPr>
              <w:t>app/sebi/stock-broker-license-india/page.tsx</w:t>
            </w:r>
            <w:r>
              <w:rPr>
                <w:sz w:val="22"/>
              </w:rPr>
            </w:r>
          </w:p>
        </w:tc>
        <w:tc>
          <w:tcPr>
            <w:tcW w:type="dxa" w:w="4320"/>
          </w:tcPr>
          <w:p>
            <w:r>
              <w:rPr>
                <w:sz w:val="19"/>
              </w:rPr>
            </w:r>
            <w:r>
              <w:rPr>
                <w:rFonts w:ascii="Courier New" w:hAnsi="Courier New"/>
                <w:sz w:val="20"/>
              </w:rPr>
              <w:t>/sebi/stock-broker-registration-in-india</w:t>
            </w:r>
            <w:r>
              <w:rPr>
                <w:sz w:val="22"/>
              </w:rPr>
            </w:r>
          </w:p>
        </w:tc>
      </w:tr>
      <w:tr>
        <w:tc>
          <w:tcPr>
            <w:tcW w:type="dxa" w:w="4320"/>
          </w:tcPr>
          <w:p>
            <w:r>
              <w:rPr>
                <w:sz w:val="19"/>
              </w:rPr>
            </w:r>
            <w:r>
              <w:rPr>
                <w:rFonts w:ascii="Courier New" w:hAnsi="Courier New"/>
                <w:sz w:val="20"/>
              </w:rPr>
              <w:t>app/sebi/stock-broker-registration/page.tsx</w:t>
            </w:r>
            <w:r>
              <w:rPr>
                <w:sz w:val="22"/>
              </w:rPr>
            </w:r>
          </w:p>
        </w:tc>
        <w:tc>
          <w:tcPr>
            <w:tcW w:type="dxa" w:w="4320"/>
          </w:tcPr>
          <w:p>
            <w:r>
              <w:rPr>
                <w:sz w:val="19"/>
              </w:rPr>
            </w:r>
            <w:r>
              <w:rPr>
                <w:rFonts w:ascii="Courier New" w:hAnsi="Courier New"/>
                <w:sz w:val="20"/>
              </w:rPr>
              <w:t>/sebi/stock-broker-registration-in-india</w:t>
            </w:r>
            <w:r>
              <w:rPr>
                <w:sz w:val="22"/>
              </w:rPr>
            </w:r>
          </w:p>
        </w:tc>
      </w:tr>
    </w:tbl>
    <w:p/>
    <w:p>
      <w:pPr>
        <w:pStyle w:val="Heading3"/>
      </w:pPr>
      <w:r>
        <w:rPr>
          <w:color w:val="1D4E89"/>
          <w:sz w:val="26"/>
        </w:rPr>
        <w:t>IFSCA (7 redirect aliases)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Route file</w:t>
            </w:r>
          </w:p>
        </w:tc>
        <w:tc>
          <w:tcPr>
            <w:tcW w:type="dxa" w:w="4320"/>
          </w:tcPr>
          <w:p>
            <w:r>
              <w:rPr>
                <w:b/>
                <w:sz w:val="19"/>
              </w:rPr>
              <w:t>Redirects to</w:t>
            </w:r>
          </w:p>
        </w:tc>
      </w:tr>
      <w:tr>
        <w:tc>
          <w:tcPr>
            <w:tcW w:type="dxa" w:w="4320"/>
          </w:tcPr>
          <w:p>
            <w:r>
              <w:rPr>
                <w:sz w:val="19"/>
              </w:rPr>
            </w:r>
            <w:r>
              <w:rPr>
                <w:rFonts w:ascii="Courier New" w:hAnsi="Courier New"/>
                <w:sz w:val="20"/>
              </w:rPr>
              <w:t>app/ifsca/aircraft-leasing/page.tsx</w:t>
            </w:r>
            <w:r>
              <w:rPr>
                <w:sz w:val="22"/>
              </w:rPr>
            </w:r>
          </w:p>
        </w:tc>
        <w:tc>
          <w:tcPr>
            <w:tcW w:type="dxa" w:w="4320"/>
          </w:tcPr>
          <w:p>
            <w:r>
              <w:rPr>
                <w:sz w:val="19"/>
              </w:rPr>
            </w:r>
            <w:r>
              <w:rPr>
                <w:rFonts w:ascii="Courier New" w:hAnsi="Courier New"/>
                <w:sz w:val="20"/>
              </w:rPr>
              <w:t>/ifsca/aircraft-leasing-registration-in-ifsc</w:t>
            </w:r>
            <w:r>
              <w:rPr>
                <w:sz w:val="22"/>
              </w:rPr>
            </w:r>
          </w:p>
        </w:tc>
      </w:tr>
      <w:tr>
        <w:tc>
          <w:tcPr>
            <w:tcW w:type="dxa" w:w="4320"/>
          </w:tcPr>
          <w:p>
            <w:r>
              <w:rPr>
                <w:sz w:val="19"/>
              </w:rPr>
            </w:r>
            <w:r>
              <w:rPr>
                <w:rFonts w:ascii="Courier New" w:hAnsi="Courier New"/>
                <w:sz w:val="20"/>
              </w:rPr>
              <w:t>app/ifsca/batf-services/page.tsx</w:t>
            </w:r>
            <w:r>
              <w:rPr>
                <w:sz w:val="22"/>
              </w:rPr>
            </w:r>
          </w:p>
        </w:tc>
        <w:tc>
          <w:tcPr>
            <w:tcW w:type="dxa" w:w="4320"/>
          </w:tcPr>
          <w:p>
            <w:r>
              <w:rPr>
                <w:sz w:val="19"/>
              </w:rPr>
            </w:r>
            <w:r>
              <w:rPr>
                <w:rFonts w:ascii="Courier New" w:hAnsi="Courier New"/>
                <w:sz w:val="20"/>
              </w:rPr>
              <w:t>/ifsca/batf-services-registration-in-gift-ifsc</w:t>
            </w:r>
            <w:r>
              <w:rPr>
                <w:sz w:val="22"/>
              </w:rPr>
            </w:r>
          </w:p>
        </w:tc>
      </w:tr>
      <w:tr>
        <w:tc>
          <w:tcPr>
            <w:tcW w:type="dxa" w:w="4320"/>
          </w:tcPr>
          <w:p>
            <w:r>
              <w:rPr>
                <w:sz w:val="19"/>
              </w:rPr>
            </w:r>
            <w:r>
              <w:rPr>
                <w:rFonts w:ascii="Courier New" w:hAnsi="Courier New"/>
                <w:sz w:val="20"/>
              </w:rPr>
              <w:t>app/ifsca/finance-company/page.tsx</w:t>
            </w:r>
            <w:r>
              <w:rPr>
                <w:sz w:val="22"/>
              </w:rPr>
            </w:r>
          </w:p>
        </w:tc>
        <w:tc>
          <w:tcPr>
            <w:tcW w:type="dxa" w:w="4320"/>
          </w:tcPr>
          <w:p>
            <w:r>
              <w:rPr>
                <w:sz w:val="19"/>
              </w:rPr>
            </w:r>
            <w:r>
              <w:rPr>
                <w:rFonts w:ascii="Courier New" w:hAnsi="Courier New"/>
                <w:sz w:val="20"/>
              </w:rPr>
              <w:t>/ifsca/finance-company-in-gift-ifsc</w:t>
            </w:r>
            <w:r>
              <w:rPr>
                <w:sz w:val="22"/>
              </w:rPr>
            </w:r>
          </w:p>
        </w:tc>
      </w:tr>
      <w:tr>
        <w:tc>
          <w:tcPr>
            <w:tcW w:type="dxa" w:w="4320"/>
          </w:tcPr>
          <w:p>
            <w:r>
              <w:rPr>
                <w:sz w:val="19"/>
              </w:rPr>
            </w:r>
            <w:r>
              <w:rPr>
                <w:rFonts w:ascii="Courier New" w:hAnsi="Courier New"/>
                <w:sz w:val="20"/>
              </w:rPr>
              <w:t>app/ifsca/finance-company-registration-in-ifsc/page.tsx</w:t>
            </w:r>
            <w:r>
              <w:rPr>
                <w:sz w:val="22"/>
              </w:rPr>
            </w:r>
          </w:p>
        </w:tc>
        <w:tc>
          <w:tcPr>
            <w:tcW w:type="dxa" w:w="4320"/>
          </w:tcPr>
          <w:p>
            <w:r>
              <w:rPr>
                <w:sz w:val="19"/>
              </w:rPr>
            </w:r>
            <w:r>
              <w:rPr>
                <w:rFonts w:ascii="Courier New" w:hAnsi="Courier New"/>
                <w:sz w:val="20"/>
              </w:rPr>
              <w:t>/ifsca/finance-company-in-gift-ifsc</w:t>
            </w:r>
            <w:r>
              <w:rPr>
                <w:sz w:val="22"/>
              </w:rPr>
            </w:r>
          </w:p>
        </w:tc>
      </w:tr>
      <w:tr>
        <w:tc>
          <w:tcPr>
            <w:tcW w:type="dxa" w:w="4320"/>
          </w:tcPr>
          <w:p>
            <w:r>
              <w:rPr>
                <w:sz w:val="19"/>
              </w:rPr>
            </w:r>
            <w:r>
              <w:rPr>
                <w:rFonts w:ascii="Courier New" w:hAnsi="Courier New"/>
                <w:sz w:val="20"/>
              </w:rPr>
              <w:t>app/ifsca/fintech-entity/page.tsx</w:t>
            </w:r>
            <w:r>
              <w:rPr>
                <w:sz w:val="22"/>
              </w:rPr>
            </w:r>
          </w:p>
        </w:tc>
        <w:tc>
          <w:tcPr>
            <w:tcW w:type="dxa" w:w="4320"/>
          </w:tcPr>
          <w:p>
            <w:r>
              <w:rPr>
                <w:sz w:val="19"/>
              </w:rPr>
            </w:r>
            <w:r>
              <w:rPr>
                <w:rFonts w:ascii="Courier New" w:hAnsi="Courier New"/>
                <w:sz w:val="20"/>
              </w:rPr>
              <w:t>/ifsca/ifsca-fintech-startup-incentives</w:t>
            </w:r>
            <w:r>
              <w:rPr>
                <w:sz w:val="22"/>
              </w:rPr>
            </w:r>
          </w:p>
        </w:tc>
      </w:tr>
      <w:tr>
        <w:tc>
          <w:tcPr>
            <w:tcW w:type="dxa" w:w="4320"/>
          </w:tcPr>
          <w:p>
            <w:r>
              <w:rPr>
                <w:sz w:val="19"/>
              </w:rPr>
            </w:r>
            <w:r>
              <w:rPr>
                <w:rFonts w:ascii="Courier New" w:hAnsi="Courier New"/>
                <w:sz w:val="20"/>
              </w:rPr>
              <w:t>app/ifsca/itfs-platform/page.tsx</w:t>
            </w:r>
            <w:r>
              <w:rPr>
                <w:sz w:val="22"/>
              </w:rPr>
            </w:r>
          </w:p>
        </w:tc>
        <w:tc>
          <w:tcPr>
            <w:tcW w:type="dxa" w:w="4320"/>
          </w:tcPr>
          <w:p>
            <w:r>
              <w:rPr>
                <w:sz w:val="19"/>
              </w:rPr>
            </w:r>
            <w:r>
              <w:rPr>
                <w:rFonts w:ascii="Courier New" w:hAnsi="Courier New"/>
                <w:sz w:val="20"/>
              </w:rPr>
              <w:t>/ifsca/itfs-registration-in-gift-ifsc</w:t>
            </w:r>
            <w:r>
              <w:rPr>
                <w:sz w:val="22"/>
              </w:rPr>
            </w:r>
          </w:p>
        </w:tc>
      </w:tr>
      <w:tr>
        <w:tc>
          <w:tcPr>
            <w:tcW w:type="dxa" w:w="4320"/>
          </w:tcPr>
          <w:p>
            <w:r>
              <w:rPr>
                <w:sz w:val="19"/>
              </w:rPr>
            </w:r>
            <w:r>
              <w:rPr>
                <w:rFonts w:ascii="Courier New" w:hAnsi="Courier New"/>
                <w:sz w:val="20"/>
              </w:rPr>
              <w:t>app/ifsca/psp-license/page.tsx</w:t>
            </w:r>
            <w:r>
              <w:rPr>
                <w:sz w:val="22"/>
              </w:rPr>
            </w:r>
          </w:p>
        </w:tc>
        <w:tc>
          <w:tcPr>
            <w:tcW w:type="dxa" w:w="4320"/>
          </w:tcPr>
          <w:p>
            <w:r>
              <w:rPr>
                <w:sz w:val="19"/>
              </w:rPr>
            </w:r>
            <w:r>
              <w:rPr>
                <w:rFonts w:ascii="Courier New" w:hAnsi="Courier New"/>
                <w:sz w:val="20"/>
              </w:rPr>
              <w:t>/ifsca/psp-license-ifsca</w:t>
            </w:r>
            <w:r>
              <w:rPr>
                <w:sz w:val="22"/>
              </w:rPr>
            </w:r>
          </w:p>
        </w:tc>
      </w:tr>
    </w:tbl>
    <w:p/>
    <w:p>
      <w:pPr>
        <w:pStyle w:val="Heading3"/>
      </w:pPr>
      <w:r>
        <w:rPr>
          <w:color w:val="1D4E89"/>
          <w:sz w:val="26"/>
        </w:rPr>
        <w:t>Other redirects (2)</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Route file</w:t>
            </w:r>
          </w:p>
        </w:tc>
        <w:tc>
          <w:tcPr>
            <w:tcW w:type="dxa" w:w="4320"/>
          </w:tcPr>
          <w:p>
            <w:r>
              <w:rPr>
                <w:b/>
                <w:sz w:val="19"/>
              </w:rPr>
              <w:t>Redirects to</w:t>
            </w:r>
          </w:p>
        </w:tc>
      </w:tr>
      <w:tr>
        <w:tc>
          <w:tcPr>
            <w:tcW w:type="dxa" w:w="4320"/>
          </w:tcPr>
          <w:p>
            <w:r>
              <w:rPr>
                <w:sz w:val="19"/>
              </w:rPr>
            </w:r>
            <w:r>
              <w:rPr>
                <w:rFonts w:ascii="Courier New" w:hAnsi="Courier New"/>
                <w:sz w:val="20"/>
              </w:rPr>
              <w:t>app/regulatory/psp-license-ifsca/page.tsx</w:t>
            </w:r>
            <w:r>
              <w:rPr>
                <w:sz w:val="22"/>
              </w:rPr>
            </w:r>
          </w:p>
        </w:tc>
        <w:tc>
          <w:tcPr>
            <w:tcW w:type="dxa" w:w="4320"/>
          </w:tcPr>
          <w:p>
            <w:r>
              <w:rPr>
                <w:sz w:val="19"/>
              </w:rPr>
            </w:r>
            <w:r>
              <w:rPr>
                <w:rFonts w:ascii="Courier New" w:hAnsi="Courier New"/>
                <w:sz w:val="20"/>
              </w:rPr>
              <w:t>/ifsca/psp-license-ifsca</w:t>
            </w:r>
            <w:r>
              <w:rPr>
                <w:sz w:val="22"/>
              </w:rPr>
            </w:r>
          </w:p>
        </w:tc>
      </w:tr>
      <w:tr>
        <w:tc>
          <w:tcPr>
            <w:tcW w:type="dxa" w:w="4320"/>
          </w:tcPr>
          <w:p>
            <w:r>
              <w:rPr>
                <w:sz w:val="19"/>
              </w:rPr>
            </w:r>
            <w:r>
              <w:rPr>
                <w:rFonts w:ascii="Courier New" w:hAnsi="Courier New"/>
                <w:sz w:val="20"/>
              </w:rPr>
              <w:t>app/admin/media/page.tsx</w:t>
            </w:r>
            <w:r>
              <w:rPr>
                <w:sz w:val="22"/>
              </w:rPr>
            </w:r>
          </w:p>
        </w:tc>
        <w:tc>
          <w:tcPr>
            <w:tcW w:type="dxa" w:w="4320"/>
          </w:tcPr>
          <w:p>
            <w:r>
              <w:rPr>
                <w:sz w:val="19"/>
              </w:rPr>
            </w:r>
            <w:r>
              <w:rPr>
                <w:rFonts w:ascii="Courier New" w:hAnsi="Courier New"/>
                <w:sz w:val="20"/>
              </w:rPr>
              <w:t>/admin/media-library</w:t>
            </w:r>
            <w:r>
              <w:rPr>
                <w:sz w:val="22"/>
              </w:rPr>
            </w:r>
          </w:p>
        </w:tc>
      </w:tr>
    </w:tbl>
    <w:p/>
    <w:p>
      <w:r>
        <w:rPr>
          <w:sz w:val="22"/>
        </w:rPr>
      </w:r>
      <w:r>
        <w:rPr>
          <w:b/>
          <w:sz w:val="22"/>
        </w:rPr>
        <w:t>Total redirect-only routes: 17</w:t>
      </w:r>
      <w:r>
        <w:rPr>
          <w:sz w:val="22"/>
        </w:rPr>
        <w:t xml:space="preserve"> (out of ~260 app route files)</w:t>
      </w:r>
    </w:p>
    <w:p/>
    <w:p>
      <w:pPr>
        <w:pStyle w:val="Heading2"/>
      </w:pPr>
      <w:r>
        <w:rPr>
          <w:color w:val="1E40AF"/>
          <w:sz w:val="30"/>
        </w:rPr>
        <w:t>4. lib/ — Library Modules</w:t>
      </w:r>
    </w:p>
    <w:p>
      <w:pPr>
        <w:spacing w:before="80" w:after="80"/>
        <w:ind w:left="432"/>
        <w:shd w:val="clear" w:color="auto" w:fill="F0F0F0"/>
      </w:pPr>
      <w:r>
        <w:rPr>
          <w:rFonts w:ascii="Courier New" w:hAnsi="Courier New"/>
          <w:sz w:val="17"/>
        </w:rPr>
        <w:t>lib/</w:t>
        <w:br/>
        <w:t>├── db.ts                         ← MongoDB connection singleton (global cache)</w:t>
        <w:br/>
        <w:t>├── anthropic.ts                  ← Anthropic SDK client — DORMANT (API key not yet enabled)</w:t>
        <w:br/>
        <w:t>├── faqEngine.ts                  ← FAQ data and logic</w:t>
        <w:br/>
        <w:t>├── regulatoryUpdates.ts          ← LEGACY — static RegulatoryUpdate array, superseded by MongoDB model</w:t>
        <w:br/>
        <w:t>├── servicePageTemplate.ts        ← DOCUMENTATION-AS-CODE — lists required sections for service pages</w:t>
        <w:br/>
        <w:t>│</w:t>
        <w:br/>
        <w:t>├── admin/                        ← Admin auth and permission system</w:t>
        <w:br/>
        <w:t>│   ├── requireAdmin.ts           ← JWT verify + seed user allowlist check</w:t>
        <w:br/>
        <w:t>│   ├── requirePermission.ts      ← requireAdmin + DB permission check + seed fallback</w:t>
        <w:br/>
        <w:t>│   ├── repository.ts             ← Admin user DB operations</w:t>
        <w:br/>
        <w:t>│   ├── seedData.ts               ← Seed admin user definitions</w:t>
        <w:br/>
        <w:t>│   ├── types.ts                  ← Admin role/permission TypeScript types</w:t>
        <w:br/>
        <w:t>│   └── helpers.ts                ← Admin utility helpers</w:t>
        <w:br/>
        <w:t>│</w:t>
        <w:br/>
        <w:t>├── auth/</w:t>
        <w:br/>
        <w:t>│   └── session.ts                ← JWT sign/verify helpers for public user auth</w:t>
        <w:br/>
        <w:t>│</w:t>
        <w:br/>
        <w:t>├── blog/</w:t>
        <w:br/>
        <w:t>│   ├── repository.ts             ← Blog DB operations</w:t>
        <w:br/>
        <w:t>│   ├── types.ts                  ← Blog TypeScript types</w:t>
        <w:br/>
        <w:t>│   ├── categories.ts             ← HARDCODED blog categories (TD-003)</w:t>
        <w:br/>
        <w:t>│   ├── sanitize.ts               ← HTML sanitization (sanitize-html wrapper)</w:t>
        <w:br/>
        <w:t>│   ├── submissionStore.ts        ← User blog submission logic</w:t>
        <w:br/>
        <w:t>│   └── sampleBlogs.ts            ← LEGACY — empty array export (unused)</w:t>
        <w:br/>
        <w:t>│</w:t>
        <w:br/>
        <w:t>├── content/                      ← Homepage CMS (ContentBlock model)</w:t>
        <w:br/>
        <w:t>│   ├── repository.ts             ← Content CRUD</w:t>
        <w:br/>
        <w:t>│   ├── types.ts                  ← TypeScript types</w:t>
        <w:br/>
        <w:t>│   ├── getContent.ts             ← Fetch content with fallback</w:t>
        <w:br/>
        <w:t>│   ├── defaults.ts               ← Root defaults index</w:t>
        <w:br/>
        <w:t>│   ├── approvalQueue.ts          ← Approval workflow</w:t>
        <w:br/>
        <w:t>│   ├── backup.ts / backupTypes.ts ← Backup logic + types</w:t>
        <w:br/>
        <w:t>│   ├── changeHistory.ts / changeHistoryTypes.ts ← History log + types</w:t>
        <w:br/>
        <w:t>│   ├── recycleBin.ts / recycleBinTypes.ts ← Recycle bin + types</w:t>
        <w:br/>
        <w:t>│   ├── restore.ts / restoreTypes.ts ← Restore logic + types</w:t>
        <w:br/>
        <w:t>│   ├── pageCatalog.ts            ← CMS page catalogue</w:t>
        <w:br/>
        <w:t>│   ├── seoPageCatalog.ts         ← SEO page catalogue</w:t>
        <w:br/>
        <w:t>│   └── [17 *Defaults.ts files]   ← Per-section homepage defaults</w:t>
        <w:br/>
        <w:t>│</w:t>
        <w:br/>
        <w:t>├── models/                       ← All Mongoose model definitions (12 models)</w:t>
        <w:br/>
        <w:t>│   ├── AdminUser.ts</w:t>
        <w:br/>
        <w:t>│   ├── BackupSnapshot.ts</w:t>
        <w:br/>
        <w:t>│   ├── Blog.ts</w:t>
        <w:br/>
        <w:t>│   ├── ContentAudit.ts</w:t>
        <w:br/>
        <w:t>│   ├── ContentBlock.ts</w:t>
        <w:br/>
        <w:t>│   ├── ContentVersion.ts</w:t>
        <w:br/>
        <w:t>│   ├── Lead.ts</w:t>
        <w:br/>
        <w:t>│   ├── MediaAsset.ts</w:t>
        <w:br/>
        <w:t>│   ├── PublicContentPage.ts</w:t>
        <w:br/>
        <w:t>│   ├── RegulatoryUpdate.ts</w:t>
        <w:br/>
        <w:t>│   ├── RegulatoryUpdateAudit.ts</w:t>
        <w:br/>
        <w:t>│   └── User.ts</w:t>
        <w:br/>
        <w:t>│</w:t>
        <w:br/>
        <w:t>├── publicContent/                ← CMS public page system (46 managed pages)</w:t>
        <w:br/>
        <w:t>│   ├── repository.ts             ← PublicContentPage CRUD</w:t>
        <w:br/>
        <w:t>│   ├── types.ts                  ← TypeScript types</w:t>
        <w:br/>
        <w:t>│   ├── managedPaths.ts           ← List of all 46 CMS-managed URL paths</w:t>
        <w:br/>
        <w:t>│   ├── rendering.ts              ← Content rendering helpers</w:t>
        <w:br/>
        <w:t>│   └── discovery.mjs             ← ESM SCRIPT ONLY — scans app/ routes for import scripts</w:t>
        <w:br/>
        <w:t>│</w:t>
        <w:br/>
        <w:t>├── regulatory/                   ← Regulatory updates (MongoDB-driven)</w:t>
        <w:br/>
        <w:t>│   ├── repository.ts             ← RegulatoryUpdate CRUD</w:t>
        <w:br/>
        <w:t>│   └── types.ts                  ← TypeScript types</w:t>
        <w:br/>
        <w:t>│</w:t>
        <w:br/>
        <w:t>├── seo/</w:t>
        <w:br/>
        <w:t>│   ├── pageMetadata.ts           ← Per-page metadata generator</w:t>
        <w:br/>
        <w:t>│   └── siteUrl.ts                ← Canonical URL helper</w:t>
        <w:br/>
        <w:t>│</w:t>
        <w:br/>
        <w:t>└── landing/                      ← Static data for 19-5 landing pages</w:t>
        <w:br/>
        <w:t xml:space="preserve">    ├── index.ts                  ← Landing page registry</w:t>
        <w:br/>
        <w:t xml:space="preserve">    ├── types.ts                  ← TypeScript types</w:t>
        <w:br/>
        <w:t xml:space="preserve">    └── pages/                    ← 20 landing page data files</w:t>
        <w:br/>
        <w:t xml:space="preserve">        ├── companyRegistration.ts</w:t>
        <w:br/>
        <w:t xml:space="preserve">        ├── llpRegistration.ts</w:t>
        <w:br/>
        <w:t xml:space="preserve">        └── [18 more page data files]</w:t>
      </w:r>
    </w:p>
    <w:p/>
    <w:p>
      <w:pPr>
        <w:pStyle w:val="Heading2"/>
      </w:pPr>
      <w:r>
        <w:rPr>
          <w:color w:val="1E40AF"/>
          <w:sz w:val="30"/>
        </w:rPr>
        <w:t>5. components/ — Shared React Components</w:t>
      </w:r>
    </w:p>
    <w:p>
      <w:pPr>
        <w:spacing w:before="80" w:after="80"/>
        <w:ind w:left="432"/>
        <w:shd w:val="clear" w:color="auto" w:fill="F0F0F0"/>
      </w:pPr>
      <w:r>
        <w:rPr>
          <w:rFonts w:ascii="Courier New" w:hAnsi="Courier New"/>
          <w:sz w:val="17"/>
        </w:rPr>
        <w:t>components/</w:t>
        <w:br/>
        <w:t>├── FAQAccordion.tsx              ← FAQ accordion (lone file at root — not in subfolder)</w:t>
        <w:br/>
        <w:t>│</w:t>
        <w:br/>
        <w:t>├── blog/</w:t>
        <w:br/>
        <w:t>│   └── BlogCard.tsx              ← Blog listing card</w:t>
        <w:br/>
        <w:t>│</w:t>
        <w:br/>
        <w:t>├── content/</w:t>
        <w:br/>
        <w:t>│   └── FrameworkBlocks.tsx       ← Content framework display</w:t>
        <w:br/>
        <w:t>│</w:t>
        <w:br/>
        <w:t>├── home/                         ← Homepage section components (17)</w:t>
        <w:br/>
        <w:t>│   ├── HeroSection.tsx</w:t>
        <w:br/>
        <w:t>│   ├── TrustedBy.tsx</w:t>
        <w:br/>
        <w:t>│   ├── StatsSection.tsx</w:t>
        <w:br/>
        <w:t>│   ├── RegulatorySevices.tsx     ← Note: typo in filename ("Sevices" not "Services")</w:t>
        <w:br/>
        <w:t>│   ├── SolutionsSection.tsx</w:t>
        <w:br/>
        <w:t>│   ├── ProcessSection.tsx</w:t>
        <w:br/>
        <w:t>│   ├── CaseStudies.tsx</w:t>
        <w:br/>
        <w:t>│   ├── CompliancePortal.tsx</w:t>
        <w:br/>
        <w:t>│   ├── ContentFrameworkSection.tsx</w:t>
        <w:br/>
        <w:t>│   ├── WhyChooseUs.tsx</w:t>
        <w:br/>
        <w:t>│   ├── GlobalMarketsSection.tsx</w:t>
        <w:br/>
        <w:t>│   ├── Testimonials.tsx</w:t>
        <w:br/>
        <w:t>│   ├── ResourcesSection.tsx</w:t>
        <w:br/>
        <w:t>│   ├── FeaturedBlogs.tsx</w:t>
        <w:br/>
        <w:t>│   └── FinalCTA.tsx</w:t>
        <w:br/>
        <w:t>│</w:t>
        <w:br/>
        <w:t>├── landing/</w:t>
        <w:br/>
        <w:t>│   └── LandingRenderer.tsx       ← Renders 19-5 landing pages</w:t>
        <w:br/>
        <w:t>│</w:t>
        <w:br/>
        <w:t>├── layout/</w:t>
        <w:br/>
        <w:t>│   ├── Navbar.tsx                ← Site navigation bar</w:t>
        <w:br/>
        <w:t>│   └── Footer.tsx                ← Site footer</w:t>
        <w:br/>
        <w:t>│</w:t>
        <w:br/>
        <w:t>├── publicContent/</w:t>
        <w:br/>
        <w:t>│   └── PublicContentPageRenderer.tsx ← Renders CMS PublicContentPage records</w:t>
        <w:br/>
        <w:t>│</w:t>
        <w:br/>
        <w:t>├── templates/</w:t>
        <w:br/>
        <w:t>│   └── ServicePageLayout.tsx     ← Standard service page template</w:t>
        <w:br/>
        <w:t>│</w:t>
        <w:br/>
        <w:t>└── ui/</w:t>
        <w:br/>
        <w:t xml:space="preserve">    ├── ChatWidget.tsx            ← Consultation chat widget</w:t>
        <w:br/>
        <w:t xml:space="preserve">    ├── LiveBackground.tsx        ← Animated background (homepage)</w:t>
        <w:br/>
        <w:t xml:space="preserve">    ├── ReadingProgress.tsx       ← Reading progress bar (blog)</w:t>
        <w:br/>
        <w:t xml:space="preserve">    └── ScrollToTop.tsx           ← Scroll-to-top button</w:t>
      </w:r>
    </w:p>
    <w:p/>
    <w:p>
      <w:pPr>
        <w:pStyle w:val="Heading2"/>
      </w:pPr>
      <w:r>
        <w:rPr>
          <w:color w:val="1E40AF"/>
          <w:sz w:val="30"/>
        </w:rPr>
        <w:t>6. scripts/ — Admin and Import Scripts</w:t>
      </w:r>
    </w:p>
    <w:p>
      <w:pPr>
        <w:spacing w:before="80" w:after="80"/>
        <w:ind w:left="432"/>
        <w:shd w:val="clear" w:color="auto" w:fill="F0F0F0"/>
      </w:pPr>
      <w:r>
        <w:rPr>
          <w:rFonts w:ascii="Courier New" w:hAnsi="Courier New"/>
          <w:sz w:val="17"/>
        </w:rPr>
        <w:t>scripts/</w:t>
        <w:br/>
        <w:t>├── seedAdminUsers.ts             ← Seeds initial admin users into MongoDB</w:t>
        <w:br/>
        <w:t>├── createAdminLogin.mjs          ← Creates admin login credentials</w:t>
        <w:br/>
        <w:t>├── importExistingPublicContentPages.mjs  ← Imports existing pages into CMS</w:t>
        <w:br/>
        <w:t>├── importExistingRegulatoryUpdates.mjs   ← Imports regulatory updates</w:t>
        <w:br/>
        <w:t>└── syncAdminRolePermissions.mjs  ← Syncs role default permissions to users</w:t>
      </w:r>
    </w:p>
    <w:p>
      <w:r>
        <w:rPr>
          <w:sz w:val="22"/>
        </w:rPr>
        <w:t>All scripts are run manually by the developer; none are imported by the Next.js app.</w:t>
      </w:r>
    </w:p>
    <w:p/>
    <w:p>
      <w:pPr>
        <w:pStyle w:val="Heading2"/>
      </w:pPr>
      <w:r>
        <w:rPr>
          <w:color w:val="1E40AF"/>
          <w:sz w:val="30"/>
        </w:rPr>
        <w:t>7. public/ — Static Assets</w:t>
      </w:r>
    </w:p>
    <w:p>
      <w:pPr>
        <w:spacing w:before="80" w:after="80"/>
        <w:ind w:left="432"/>
        <w:shd w:val="clear" w:color="auto" w:fill="F0F0F0"/>
      </w:pPr>
      <w:r>
        <w:rPr>
          <w:rFonts w:ascii="Courier New" w:hAnsi="Courier New"/>
          <w:sz w:val="17"/>
        </w:rPr>
        <w:t>public/</w:t>
        <w:br/>
        <w:t>├── estabizz-logo.png             ← Dark-background logo</w:t>
        <w:br/>
        <w:t>├── estabizz-logo-light.png       ← Light-background logo</w:t>
        <w:br/>
        <w:t>├── estabizz-mark.png             ← Logo mark only</w:t>
        <w:br/>
        <w:t>├── favicon.ico                   ← Browser favicon</w:t>
        <w:br/>
        <w:t>├── tailwind.css                  ← GENERATED — Tailwind CLI output (do not edit)</w:t>
        <w:br/>
        <w:t>└── images/</w:t>
        <w:br/>
        <w:t xml:space="preserve">    └── sebi/</w:t>
        <w:br/>
        <w:t xml:space="preserve">        └── rta/</w:t>
        <w:br/>
        <w:t xml:space="preserve">            ├── process-flowchart.png</w:t>
        <w:br/>
        <w:t xml:space="preserve">            └── process-timeline.jpg</w:t>
      </w:r>
    </w:p>
    <w:p/>
    <w:p>
      <w:pPr>
        <w:pStyle w:val="Heading2"/>
      </w:pPr>
      <w:r>
        <w:rPr>
          <w:color w:val="1E40AF"/>
          <w:sz w:val="30"/>
        </w:rPr>
        <w:t>8. Root Configuration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Purpose</w:t>
            </w:r>
          </w:p>
        </w:tc>
        <w:tc>
          <w:tcPr>
            <w:tcW w:type="dxa" w:w="2880"/>
          </w:tcPr>
          <w:p>
            <w:r>
              <w:rPr>
                <w:b/>
                <w:sz w:val="19"/>
              </w:rPr>
              <w:t>Status</w:t>
            </w:r>
          </w:p>
        </w:tc>
      </w:tr>
      <w:tr>
        <w:tc>
          <w:tcPr>
            <w:tcW w:type="dxa" w:w="2880"/>
          </w:tcPr>
          <w:p>
            <w:r>
              <w:rPr>
                <w:sz w:val="19"/>
              </w:rPr>
            </w:r>
            <w:r>
              <w:rPr>
                <w:rFonts w:ascii="Courier New" w:hAnsi="Courier New"/>
                <w:sz w:val="20"/>
              </w:rPr>
              <w:t>next.config.js</w:t>
            </w:r>
            <w:r>
              <w:rPr>
                <w:sz w:val="22"/>
              </w:rPr>
            </w:r>
          </w:p>
        </w:tc>
        <w:tc>
          <w:tcPr>
            <w:tcW w:type="dxa" w:w="2880"/>
          </w:tcPr>
          <w:p>
            <w:r>
              <w:rPr>
                <w:sz w:val="19"/>
              </w:rPr>
              <w:t>Next.js config (headers, webpack, etc.)</w:t>
            </w:r>
          </w:p>
        </w:tc>
        <w:tc>
          <w:tcPr>
            <w:tcW w:type="dxa" w:w="2880"/>
          </w:tcPr>
          <w:p>
            <w:r>
              <w:rPr>
                <w:sz w:val="19"/>
              </w:rPr>
              <w:t>Active</w:t>
            </w:r>
          </w:p>
        </w:tc>
      </w:tr>
      <w:tr>
        <w:tc>
          <w:tcPr>
            <w:tcW w:type="dxa" w:w="2880"/>
          </w:tcPr>
          <w:p>
            <w:r>
              <w:rPr>
                <w:sz w:val="19"/>
              </w:rPr>
            </w:r>
            <w:r>
              <w:rPr>
                <w:rFonts w:ascii="Courier New" w:hAnsi="Courier New"/>
                <w:sz w:val="20"/>
              </w:rPr>
              <w:t>postcss.config.js</w:t>
            </w:r>
            <w:r>
              <w:rPr>
                <w:sz w:val="22"/>
              </w:rPr>
            </w:r>
          </w:p>
        </w:tc>
        <w:tc>
          <w:tcPr>
            <w:tcW w:type="dxa" w:w="2880"/>
          </w:tcPr>
          <w:p>
            <w:r>
              <w:rPr>
                <w:sz w:val="19"/>
              </w:rPr>
              <w:t>PostCSS pipeline (tailwindcss + autoprefixer)</w:t>
            </w:r>
          </w:p>
        </w:tc>
        <w:tc>
          <w:tcPr>
            <w:tcW w:type="dxa" w:w="2880"/>
          </w:tcPr>
          <w:p>
            <w:r>
              <w:rPr>
                <w:sz w:val="19"/>
              </w:rPr>
              <w:t>Active — both CSS paths active simultaneously</w:t>
            </w:r>
          </w:p>
        </w:tc>
      </w:tr>
      <w:tr>
        <w:tc>
          <w:tcPr>
            <w:tcW w:type="dxa" w:w="2880"/>
          </w:tcPr>
          <w:p>
            <w:r>
              <w:rPr>
                <w:sz w:val="19"/>
              </w:rPr>
            </w:r>
            <w:r>
              <w:rPr>
                <w:rFonts w:ascii="Courier New" w:hAnsi="Courier New"/>
                <w:sz w:val="20"/>
              </w:rPr>
              <w:t>tailwind.config.js</w:t>
            </w:r>
            <w:r>
              <w:rPr>
                <w:sz w:val="22"/>
              </w:rPr>
            </w:r>
          </w:p>
        </w:tc>
        <w:tc>
          <w:tcPr>
            <w:tcW w:type="dxa" w:w="2880"/>
          </w:tcPr>
          <w:p>
            <w:r>
              <w:rPr>
                <w:sz w:val="19"/>
              </w:rPr>
              <w:t>Tailwind content paths and theme</w:t>
            </w:r>
          </w:p>
        </w:tc>
        <w:tc>
          <w:tcPr>
            <w:tcW w:type="dxa" w:w="2880"/>
          </w:tcPr>
          <w:p>
            <w:r>
              <w:rPr>
                <w:sz w:val="19"/>
              </w:rPr>
              <w:t>Active</w:t>
            </w:r>
          </w:p>
        </w:tc>
      </w:tr>
      <w:tr>
        <w:tc>
          <w:tcPr>
            <w:tcW w:type="dxa" w:w="2880"/>
          </w:tcPr>
          <w:p>
            <w:r>
              <w:rPr>
                <w:sz w:val="19"/>
              </w:rPr>
            </w:r>
            <w:r>
              <w:rPr>
                <w:rFonts w:ascii="Courier New" w:hAnsi="Courier New"/>
                <w:sz w:val="20"/>
              </w:rPr>
              <w:t>tsconfig.json</w:t>
            </w:r>
            <w:r>
              <w:rPr>
                <w:sz w:val="22"/>
              </w:rPr>
            </w:r>
          </w:p>
        </w:tc>
        <w:tc>
          <w:tcPr>
            <w:tcW w:type="dxa" w:w="2880"/>
          </w:tcPr>
          <w:p>
            <w:r>
              <w:rPr>
                <w:sz w:val="19"/>
              </w:rPr>
              <w:t xml:space="preserve">TypeScript strict config, path alias </w:t>
            </w:r>
            <w:r>
              <w:rPr>
                <w:rFonts w:ascii="Courier New" w:hAnsi="Courier New"/>
                <w:sz w:val="20"/>
              </w:rPr>
              <w:t>@/*</w:t>
            </w:r>
            <w:r>
              <w:rPr>
                <w:sz w:val="22"/>
              </w:rPr>
            </w:r>
          </w:p>
        </w:tc>
        <w:tc>
          <w:tcPr>
            <w:tcW w:type="dxa" w:w="2880"/>
          </w:tcPr>
          <w:p>
            <w:r>
              <w:rPr>
                <w:sz w:val="19"/>
              </w:rPr>
              <w:t>Active</w:t>
            </w:r>
          </w:p>
        </w:tc>
      </w:tr>
      <w:tr>
        <w:tc>
          <w:tcPr>
            <w:tcW w:type="dxa" w:w="2880"/>
          </w:tcPr>
          <w:p>
            <w:r>
              <w:rPr>
                <w:sz w:val="19"/>
              </w:rPr>
            </w:r>
            <w:r>
              <w:rPr>
                <w:rFonts w:ascii="Courier New" w:hAnsi="Courier New"/>
                <w:sz w:val="20"/>
              </w:rPr>
              <w:t>tsconfig.tsbuildinfo</w:t>
            </w:r>
            <w:r>
              <w:rPr>
                <w:sz w:val="22"/>
              </w:rPr>
            </w:r>
          </w:p>
        </w:tc>
        <w:tc>
          <w:tcPr>
            <w:tcW w:type="dxa" w:w="2880"/>
          </w:tcPr>
          <w:p>
            <w:r>
              <w:rPr>
                <w:sz w:val="19"/>
              </w:rPr>
              <w:t>TypeScript incremental build cache</w:t>
            </w:r>
          </w:p>
        </w:tc>
        <w:tc>
          <w:tcPr>
            <w:tcW w:type="dxa" w:w="2880"/>
          </w:tcPr>
          <w:p>
            <w:r>
              <w:rPr>
                <w:sz w:val="19"/>
              </w:rPr>
              <w:t>Generated — should be gitignored</w:t>
            </w:r>
          </w:p>
        </w:tc>
      </w:tr>
      <w:tr>
        <w:tc>
          <w:tcPr>
            <w:tcW w:type="dxa" w:w="2880"/>
          </w:tcPr>
          <w:p>
            <w:r>
              <w:rPr>
                <w:sz w:val="19"/>
              </w:rPr>
            </w:r>
            <w:r>
              <w:rPr>
                <w:rFonts w:ascii="Courier New" w:hAnsi="Courier New"/>
                <w:sz w:val="20"/>
              </w:rPr>
              <w:t>package.json</w:t>
            </w:r>
            <w:r>
              <w:rPr>
                <w:sz w:val="22"/>
              </w:rPr>
            </w:r>
          </w:p>
        </w:tc>
        <w:tc>
          <w:tcPr>
            <w:tcW w:type="dxa" w:w="2880"/>
          </w:tcPr>
          <w:p>
            <w:r>
              <w:rPr>
                <w:sz w:val="19"/>
              </w:rPr>
              <w:t>npm deps + dev script (Tailwind CLI + next dev --turbopack)</w:t>
            </w:r>
          </w:p>
        </w:tc>
        <w:tc>
          <w:tcPr>
            <w:tcW w:type="dxa" w:w="2880"/>
          </w:tcPr>
          <w:p>
            <w:r>
              <w:rPr>
                <w:sz w:val="19"/>
              </w:rPr>
              <w:t>Active</w:t>
            </w:r>
          </w:p>
        </w:tc>
      </w:tr>
      <w:tr>
        <w:tc>
          <w:tcPr>
            <w:tcW w:type="dxa" w:w="2880"/>
          </w:tcPr>
          <w:p>
            <w:r>
              <w:rPr>
                <w:sz w:val="19"/>
              </w:rPr>
            </w:r>
            <w:r>
              <w:rPr>
                <w:rFonts w:ascii="Courier New" w:hAnsi="Courier New"/>
                <w:sz w:val="20"/>
              </w:rPr>
              <w:t>package-lock.json</w:t>
            </w:r>
            <w:r>
              <w:rPr>
                <w:sz w:val="22"/>
              </w:rPr>
            </w:r>
          </w:p>
        </w:tc>
        <w:tc>
          <w:tcPr>
            <w:tcW w:type="dxa" w:w="2880"/>
          </w:tcPr>
          <w:p>
            <w:r>
              <w:rPr>
                <w:sz w:val="19"/>
              </w:rPr>
              <w:t>npm lockfile</w:t>
            </w:r>
          </w:p>
        </w:tc>
        <w:tc>
          <w:tcPr>
            <w:tcW w:type="dxa" w:w="2880"/>
          </w:tcPr>
          <w:p>
            <w:r>
              <w:rPr>
                <w:sz w:val="19"/>
              </w:rPr>
              <w:t>Active</w:t>
            </w:r>
          </w:p>
        </w:tc>
      </w:tr>
      <w:tr>
        <w:tc>
          <w:tcPr>
            <w:tcW w:type="dxa" w:w="2880"/>
          </w:tcPr>
          <w:p>
            <w:r>
              <w:rPr>
                <w:sz w:val="19"/>
              </w:rPr>
            </w:r>
            <w:r>
              <w:rPr>
                <w:rFonts w:ascii="Courier New" w:hAnsi="Courier New"/>
                <w:sz w:val="20"/>
              </w:rPr>
              <w:t>vercel.json</w:t>
            </w:r>
            <w:r>
              <w:rPr>
                <w:sz w:val="22"/>
              </w:rPr>
            </w:r>
          </w:p>
        </w:tc>
        <w:tc>
          <w:tcPr>
            <w:tcW w:type="dxa" w:w="2880"/>
          </w:tcPr>
          <w:p>
            <w:r>
              <w:rPr>
                <w:sz w:val="19"/>
              </w:rPr>
              <w:t>Vercel deploy config</w:t>
            </w:r>
          </w:p>
        </w:tc>
        <w:tc>
          <w:tcPr>
            <w:tcW w:type="dxa" w:w="2880"/>
          </w:tcPr>
          <w:p>
            <w:r>
              <w:rPr>
                <w:sz w:val="19"/>
              </w:rPr>
              <w:t>Active</w:t>
            </w:r>
          </w:p>
        </w:tc>
      </w:tr>
      <w:tr>
        <w:tc>
          <w:tcPr>
            <w:tcW w:type="dxa" w:w="2880"/>
          </w:tcPr>
          <w:p>
            <w:r>
              <w:rPr>
                <w:sz w:val="19"/>
              </w:rPr>
            </w:r>
            <w:r>
              <w:rPr>
                <w:rFonts w:ascii="Courier New" w:hAnsi="Courier New"/>
                <w:sz w:val="20"/>
              </w:rPr>
              <w:t>.eslintrc.json</w:t>
            </w:r>
            <w:r>
              <w:rPr>
                <w:sz w:val="22"/>
              </w:rPr>
            </w:r>
          </w:p>
        </w:tc>
        <w:tc>
          <w:tcPr>
            <w:tcW w:type="dxa" w:w="2880"/>
          </w:tcPr>
          <w:p>
            <w:r>
              <w:rPr>
                <w:sz w:val="19"/>
              </w:rPr>
              <w:t>ESLint rules</w:t>
            </w:r>
          </w:p>
        </w:tc>
        <w:tc>
          <w:tcPr>
            <w:tcW w:type="dxa" w:w="2880"/>
          </w:tcPr>
          <w:p>
            <w:r>
              <w:rPr>
                <w:sz w:val="19"/>
              </w:rPr>
              <w:t>Active</w:t>
            </w:r>
          </w:p>
        </w:tc>
      </w:tr>
      <w:tr>
        <w:tc>
          <w:tcPr>
            <w:tcW w:type="dxa" w:w="2880"/>
          </w:tcPr>
          <w:p>
            <w:r>
              <w:rPr>
                <w:sz w:val="19"/>
              </w:rPr>
            </w:r>
            <w:r>
              <w:rPr>
                <w:rFonts w:ascii="Courier New" w:hAnsi="Courier New"/>
                <w:sz w:val="20"/>
              </w:rPr>
              <w:t>.gitignore</w:t>
            </w:r>
            <w:r>
              <w:rPr>
                <w:sz w:val="22"/>
              </w:rPr>
            </w:r>
          </w:p>
        </w:tc>
        <w:tc>
          <w:tcPr>
            <w:tcW w:type="dxa" w:w="2880"/>
          </w:tcPr>
          <w:p>
            <w:r>
              <w:rPr>
                <w:sz w:val="19"/>
              </w:rPr>
              <w:t>Git ignore patterns</w:t>
            </w:r>
          </w:p>
        </w:tc>
        <w:tc>
          <w:tcPr>
            <w:tcW w:type="dxa" w:w="2880"/>
          </w:tcPr>
          <w:p>
            <w:r>
              <w:rPr>
                <w:sz w:val="19"/>
              </w:rPr>
              <w:t>Needs update (see cleanup plan)</w:t>
            </w:r>
          </w:p>
        </w:tc>
      </w:tr>
      <w:tr>
        <w:tc>
          <w:tcPr>
            <w:tcW w:type="dxa" w:w="2880"/>
          </w:tcPr>
          <w:p>
            <w:r>
              <w:rPr>
                <w:sz w:val="19"/>
              </w:rPr>
            </w:r>
            <w:r>
              <w:rPr>
                <w:rFonts w:ascii="Courier New" w:hAnsi="Courier New"/>
                <w:sz w:val="20"/>
              </w:rPr>
              <w:t>proxy.ts</w:t>
            </w:r>
            <w:r>
              <w:rPr>
                <w:sz w:val="22"/>
              </w:rPr>
            </w:r>
          </w:p>
        </w:tc>
        <w:tc>
          <w:tcPr>
            <w:tcW w:type="dxa" w:w="2880"/>
          </w:tcPr>
          <w:p>
            <w:r>
              <w:rPr>
                <w:sz w:val="19"/>
              </w:rPr>
              <w:t xml:space="preserve">Exports </w:t>
            </w:r>
            <w:r>
              <w:rPr>
                <w:rFonts w:ascii="Courier New" w:hAnsi="Courier New"/>
                <w:sz w:val="20"/>
              </w:rPr>
              <w:t>proxy</w:t>
            </w:r>
            <w:r>
              <w:rPr>
                <w:sz w:val="22"/>
              </w:rPr>
              <w:t xml:space="preserve"> function — NOT a Next.js middleware</w:t>
            </w:r>
          </w:p>
        </w:tc>
        <w:tc>
          <w:tcPr>
            <w:tcW w:type="dxa" w:w="2880"/>
          </w:tcPr>
          <w:p>
            <w:r>
              <w:rPr>
                <w:sz w:val="19"/>
              </w:rPr>
              <w:t>Misnamed / dormant</w:t>
            </w:r>
          </w:p>
        </w:tc>
      </w:tr>
    </w:tbl>
    <w:p/>
    <w:p/>
    <w:p>
      <w:pPr>
        <w:pStyle w:val="Heading2"/>
      </w:pPr>
      <w:r>
        <w:rPr>
          <w:color w:val="1E40AF"/>
          <w:sz w:val="30"/>
        </w:rPr>
        <w:t>9. Notable Structural Observations</w:t>
      </w:r>
    </w:p>
    <w:p>
      <w:pPr>
        <w:pStyle w:val="ListNumber"/>
      </w:pPr>
      <w:r>
        <w:rPr>
          <w:sz w:val="22"/>
        </w:rPr>
      </w:r>
      <w:r>
        <w:rPr>
          <w:b/>
          <w:sz w:val="22"/>
        </w:rPr>
        <w:t>No `docs/` directory</w:t>
      </w:r>
      <w:r>
        <w:rPr>
          <w:sz w:val="22"/>
        </w:rPr>
        <w:t xml:space="preserve"> — All 19+ markdown documentation files live at the project root.</w:t>
      </w:r>
    </w:p>
    <w:p>
      <w:pPr>
        <w:pStyle w:val="ListNumber"/>
      </w:pPr>
      <w:r>
        <w:rPr>
          <w:sz w:val="22"/>
        </w:rPr>
      </w:r>
      <w:r>
        <w:rPr>
          <w:b/>
          <w:sz w:val="22"/>
        </w:rPr>
        <w:t>No `types/` directory</w:t>
      </w:r>
      <w:r>
        <w:rPr>
          <w:sz w:val="22"/>
        </w:rPr>
        <w:t xml:space="preserve"> — TypeScript types are colocated with their modules.</w:t>
      </w:r>
    </w:p>
    <w:p>
      <w:pPr>
        <w:pStyle w:val="ListNumber"/>
      </w:pPr>
      <w:r>
        <w:rPr>
          <w:sz w:val="22"/>
        </w:rPr>
      </w:r>
      <w:r>
        <w:rPr>
          <w:b/>
          <w:sz w:val="22"/>
        </w:rPr>
        <w:t>No `styles/` directory</w:t>
      </w:r>
      <w:r>
        <w:rPr>
          <w:sz w:val="22"/>
        </w:rPr>
        <w:t xml:space="preserve"> — </w:t>
      </w:r>
      <w:r>
        <w:rPr>
          <w:rFonts w:ascii="Courier New" w:hAnsi="Courier New"/>
          <w:sz w:val="22"/>
        </w:rPr>
        <w:t>app/globals.css</w:t>
      </w:r>
      <w:r>
        <w:rPr>
          <w:sz w:val="22"/>
        </w:rPr>
        <w:t xml:space="preserve"> is the single stylesheet source.</w:t>
      </w:r>
    </w:p>
    <w:p>
      <w:pPr>
        <w:pStyle w:val="ListNumber"/>
      </w:pPr>
      <w:r>
        <w:rPr>
          <w:sz w:val="22"/>
        </w:rPr>
      </w:r>
      <w:r>
        <w:rPr>
          <w:b/>
          <w:sz w:val="22"/>
        </w:rPr>
        <w:t>No `data/` directory</w:t>
      </w:r>
      <w:r>
        <w:rPr>
          <w:sz w:val="22"/>
        </w:rPr>
        <w:t xml:space="preserve"> — Static data lives in </w:t>
      </w:r>
      <w:r>
        <w:rPr>
          <w:rFonts w:ascii="Courier New" w:hAnsi="Courier New"/>
          <w:sz w:val="22"/>
        </w:rPr>
        <w:t>lib/landing/</w:t>
      </w:r>
      <w:r>
        <w:rPr>
          <w:sz w:val="22"/>
        </w:rPr>
        <w:t xml:space="preserve"> (landing pages) and </w:t>
      </w:r>
      <w:r>
        <w:rPr>
          <w:rFonts w:ascii="Courier New" w:hAnsi="Courier New"/>
          <w:sz w:val="22"/>
        </w:rPr>
        <w:t>lib/content/*Defaults.ts</w:t>
      </w:r>
      <w:r>
        <w:rPr>
          <w:sz w:val="22"/>
        </w:rPr>
        <w:t xml:space="preserve"> (homepage defaults).</w:t>
      </w:r>
    </w:p>
    <w:p>
      <w:pPr>
        <w:pStyle w:val="ListNumber"/>
      </w:pPr>
      <w:r>
        <w:rPr>
          <w:sz w:val="22"/>
        </w:rPr>
      </w:r>
      <w:r>
        <w:rPr>
          <w:b/>
          <w:sz w:val="22"/>
        </w:rPr>
        <w:t>All models in `lib/models/`</w:t>
      </w:r>
      <w:r>
        <w:rPr>
          <w:sz w:val="22"/>
        </w:rPr>
        <w:t xml:space="preserve"> — No split </w:t>
      </w:r>
      <w:r>
        <w:rPr>
          <w:rFonts w:ascii="Courier New" w:hAnsi="Courier New"/>
          <w:sz w:val="22"/>
        </w:rPr>
        <w:t>models/</w:t>
      </w:r>
      <w:r>
        <w:rPr>
          <w:sz w:val="22"/>
        </w:rPr>
        <w:t xml:space="preserve"> folder at the project root.</w:t>
      </w:r>
    </w:p>
    <w:p>
      <w:pPr>
        <w:pStyle w:val="ListNumber"/>
      </w:pPr>
      <w:r>
        <w:rPr>
          <w:sz w:val="22"/>
        </w:rPr>
      </w:r>
      <w:r>
        <w:rPr>
          <w:b/>
          <w:sz w:val="22"/>
        </w:rPr>
        <w:t>`proxy.ts` at root</w:t>
      </w:r>
      <w:r>
        <w:rPr>
          <w:sz w:val="22"/>
        </w:rPr>
        <w:t xml:space="preserve"> — Misnamed; Next.js edge middleware must be named </w:t>
      </w:r>
      <w:r>
        <w:rPr>
          <w:rFonts w:ascii="Courier New" w:hAnsi="Courier New"/>
          <w:sz w:val="22"/>
        </w:rPr>
        <w:t>middleware.ts</w:t>
      </w:r>
      <w:r>
        <w:rPr>
          <w:sz w:val="22"/>
        </w:rPr>
        <w:t xml:space="preserve"> to be picked up.</w:t>
      </w:r>
    </w:p>
    <w:p>
      <w:pPr>
        <w:pStyle w:val="ListNumber"/>
      </w:pPr>
      <w:r>
        <w:rPr>
          <w:sz w:val="22"/>
        </w:rPr>
      </w:r>
      <w:r>
        <w:rPr>
          <w:b/>
          <w:sz w:val="22"/>
        </w:rPr>
        <w:t>`scratch/` is empty</w:t>
      </w:r>
      <w:r>
        <w:rPr>
          <w:sz w:val="22"/>
        </w:rPr>
        <w:t xml:space="preserve"> — The directory exists but contains no files.</w:t>
      </w:r>
    </w:p>
    <w:p>
      <w:pPr>
        <w:pStyle w:val="ListNumber"/>
      </w:pPr>
      <w:r>
        <w:rPr>
          <w:sz w:val="22"/>
        </w:rPr>
      </w:r>
      <w:r>
        <w:rPr>
          <w:b/>
          <w:sz w:val="22"/>
        </w:rPr>
        <w:t>`components/FAQAccordion.tsx` not in a subdirectory</w:t>
      </w:r>
      <w:r>
        <w:rPr>
          <w:sz w:val="22"/>
        </w:rPr>
        <w:t xml:space="preserve"> — All other component files are in a subfolder.</w:t>
      </w:r>
    </w:p>
    <w:p>
      <w:pPr>
        <w:pStyle w:val="ListNumber"/>
      </w:pPr>
      <w:r>
        <w:rPr>
          <w:sz w:val="22"/>
        </w:rPr>
      </w:r>
      <w:r>
        <w:rPr>
          <w:b/>
          <w:sz w:val="22"/>
        </w:rPr>
        <w:t>`components/home/RegulatorySevices.tsx`</w:t>
      </w:r>
      <w:r>
        <w:rPr>
          <w:sz w:val="22"/>
        </w:rPr>
        <w:t xml:space="preserve"> — Typo in filename (missing 'r' in Services); this is the live file in use.</w:t>
      </w:r>
    </w:p>
    <w:p>
      <w:pPr>
        <w:pStyle w:val="ListNumber"/>
      </w:pPr>
      <w:r>
        <w:rPr>
          <w:sz w:val="22"/>
        </w:rPr>
      </w:r>
      <w:r>
        <w:rPr>
          <w:b/>
          <w:sz w:val="22"/>
        </w:rPr>
        <w:t>17 redirect routes</w:t>
      </w:r>
      <w:r>
        <w:rPr>
          <w:sz w:val="22"/>
        </w:rPr>
        <w:t xml:space="preserve"> — Spread across </w:t>
      </w:r>
      <w:r>
        <w:rPr>
          <w:rFonts w:ascii="Courier New" w:hAnsi="Courier New"/>
          <w:sz w:val="22"/>
        </w:rPr>
        <w:t>app/sebi/</w:t>
      </w:r>
      <w:r>
        <w:rPr>
          <w:sz w:val="22"/>
        </w:rPr>
        <w:t xml:space="preserve">, </w:t>
      </w:r>
      <w:r>
        <w:rPr>
          <w:rFonts w:ascii="Courier New" w:hAnsi="Courier New"/>
          <w:sz w:val="22"/>
        </w:rPr>
        <w:t>app/ifsca/</w:t>
      </w:r>
      <w:r>
        <w:rPr>
          <w:sz w:val="22"/>
        </w:rPr>
        <w:t xml:space="preserve">, </w:t>
      </w:r>
      <w:r>
        <w:rPr>
          <w:rFonts w:ascii="Courier New" w:hAnsi="Courier New"/>
          <w:sz w:val="22"/>
        </w:rPr>
        <w:t>app/regulatory/</w:t>
      </w:r>
      <w:r>
        <w:rPr>
          <w:sz w:val="22"/>
        </w:rPr>
        <w:t xml:space="preserve">, </w:t>
      </w:r>
      <w:r>
        <w:rPr>
          <w:rFonts w:ascii="Courier New" w:hAnsi="Courier New"/>
          <w:sz w:val="22"/>
        </w:rPr>
        <w:t>app/admin/media/</w:t>
      </w:r>
      <w:r>
        <w:rPr>
          <w:sz w:val="22"/>
        </w:rPr>
        <w:t>.</w:t>
      </w:r>
    </w:p>
    <w:p>
      <w:r>
        <w:br w:type="page"/>
      </w:r>
    </w:p>
    <w:p>
      <w:pPr>
        <w:pStyle w:val="Heading1"/>
      </w:pPr>
      <w:r>
        <w:rPr>
          <w:color w:val="1A56DB"/>
          <w:sz w:val="40"/>
        </w:rPr>
        <w:t>Estabizz — File Classification Register</w:t>
      </w:r>
    </w:p>
    <w:p>
      <w:pPr>
        <w:ind w:left="360"/>
      </w:pPr>
      <w:r>
        <w:rPr>
          <w:i/>
          <w:color w:val="555555"/>
          <w:sz w:val="20"/>
        </w:rPr>
        <w:t>Created: 2026-07-22 · Branch: **main** (confirmed) · Audit commit: **73f04af**</w:t>
      </w:r>
    </w:p>
    <w:p>
      <w:pPr>
        <w:ind w:left="360"/>
      </w:pPr>
      <w:r>
        <w:rPr>
          <w:i/>
          <w:color w:val="555555"/>
          <w:sz w:val="20"/>
        </w:rPr>
        <w:t>This register classifies every notable non-standard file. Standard active files (route pages, API handlers, standard lib modules) are not listed unless they have a special status. See ESTABIZZ_REPOSITORY_STRUCTURE_MAP.md for the complete directory tree.</w:t>
      </w:r>
    </w:p>
    <w:p/>
    <w:p>
      <w:pPr>
        <w:pStyle w:val="Heading2"/>
      </w:pPr>
      <w:r>
        <w:rPr>
          <w:color w:val="1E40AF"/>
          <w:sz w:val="30"/>
        </w:rPr>
        <w:t>Classification Key</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Class</w:t>
            </w:r>
          </w:p>
        </w:tc>
        <w:tc>
          <w:tcPr>
            <w:tcW w:type="dxa" w:w="4320"/>
          </w:tcPr>
          <w:p>
            <w:r>
              <w:rPr>
                <w:b/>
                <w:sz w:val="19"/>
              </w:rPr>
              <w:t>Meaning</w:t>
            </w:r>
          </w:p>
        </w:tc>
      </w:tr>
      <w:tr>
        <w:tc>
          <w:tcPr>
            <w:tcW w:type="dxa" w:w="4320"/>
          </w:tcPr>
          <w:p>
            <w:r>
              <w:rPr>
                <w:sz w:val="19"/>
              </w:rPr>
            </w:r>
            <w:r>
              <w:rPr>
                <w:b/>
                <w:sz w:val="22"/>
              </w:rPr>
              <w:t>Active</w:t>
            </w:r>
            <w:r>
              <w:rPr>
                <w:sz w:val="22"/>
              </w:rPr>
            </w:r>
          </w:p>
        </w:tc>
        <w:tc>
          <w:tcPr>
            <w:tcW w:type="dxa" w:w="4320"/>
          </w:tcPr>
          <w:p>
            <w:r>
              <w:rPr>
                <w:sz w:val="19"/>
              </w:rPr>
              <w:t>In production use; part of the Next.js app; do not remove</w:t>
            </w:r>
          </w:p>
        </w:tc>
      </w:tr>
      <w:tr>
        <w:tc>
          <w:tcPr>
            <w:tcW w:type="dxa" w:w="4320"/>
          </w:tcPr>
          <w:p>
            <w:r>
              <w:rPr>
                <w:sz w:val="19"/>
              </w:rPr>
            </w:r>
            <w:r>
              <w:rPr>
                <w:b/>
                <w:sz w:val="22"/>
              </w:rPr>
              <w:t>Redirect-only</w:t>
            </w:r>
            <w:r>
              <w:rPr>
                <w:sz w:val="22"/>
              </w:rPr>
            </w:r>
          </w:p>
        </w:tc>
        <w:tc>
          <w:tcPr>
            <w:tcW w:type="dxa" w:w="4320"/>
          </w:tcPr>
          <w:p>
            <w:r>
              <w:rPr>
                <w:sz w:val="19"/>
              </w:rPr>
              <w:t xml:space="preserve">Contains only a Next.js </w:t>
            </w:r>
            <w:r>
              <w:rPr>
                <w:rFonts w:ascii="Courier New" w:hAnsi="Courier New"/>
                <w:sz w:val="20"/>
              </w:rPr>
              <w:t>redirect()</w:t>
            </w:r>
            <w:r>
              <w:rPr>
                <w:sz w:val="22"/>
              </w:rPr>
              <w:t xml:space="preserve"> call; no UI or data</w:t>
            </w:r>
          </w:p>
        </w:tc>
      </w:tr>
      <w:tr>
        <w:tc>
          <w:tcPr>
            <w:tcW w:type="dxa" w:w="4320"/>
          </w:tcPr>
          <w:p>
            <w:r>
              <w:rPr>
                <w:sz w:val="19"/>
              </w:rPr>
            </w:r>
            <w:r>
              <w:rPr>
                <w:b/>
                <w:sz w:val="22"/>
              </w:rPr>
              <w:t>Legacy</w:t>
            </w:r>
            <w:r>
              <w:rPr>
                <w:sz w:val="22"/>
              </w:rPr>
            </w:r>
          </w:p>
        </w:tc>
        <w:tc>
          <w:tcPr>
            <w:tcW w:type="dxa" w:w="4320"/>
          </w:tcPr>
          <w:p>
            <w:r>
              <w:rPr>
                <w:sz w:val="19"/>
              </w:rPr>
              <w:t>Superseded by a newer implementation; no longer imported</w:t>
            </w:r>
          </w:p>
        </w:tc>
      </w:tr>
      <w:tr>
        <w:tc>
          <w:tcPr>
            <w:tcW w:type="dxa" w:w="4320"/>
          </w:tcPr>
          <w:p>
            <w:r>
              <w:rPr>
                <w:sz w:val="19"/>
              </w:rPr>
            </w:r>
            <w:r>
              <w:rPr>
                <w:b/>
                <w:sz w:val="22"/>
              </w:rPr>
              <w:t>Dormant</w:t>
            </w:r>
            <w:r>
              <w:rPr>
                <w:sz w:val="22"/>
              </w:rPr>
            </w:r>
          </w:p>
        </w:tc>
        <w:tc>
          <w:tcPr>
            <w:tcW w:type="dxa" w:w="4320"/>
          </w:tcPr>
          <w:p>
            <w:r>
              <w:rPr>
                <w:sz w:val="19"/>
              </w:rPr>
              <w:t>Exists but not activated; depends on an env var or config not yet enabled</w:t>
            </w:r>
          </w:p>
        </w:tc>
      </w:tr>
      <w:tr>
        <w:tc>
          <w:tcPr>
            <w:tcW w:type="dxa" w:w="4320"/>
          </w:tcPr>
          <w:p>
            <w:r>
              <w:rPr>
                <w:sz w:val="19"/>
              </w:rPr>
            </w:r>
            <w:r>
              <w:rPr>
                <w:b/>
                <w:sz w:val="22"/>
              </w:rPr>
              <w:t>Generated</w:t>
            </w:r>
            <w:r>
              <w:rPr>
                <w:sz w:val="22"/>
              </w:rPr>
            </w:r>
          </w:p>
        </w:tc>
        <w:tc>
          <w:tcPr>
            <w:tcW w:type="dxa" w:w="4320"/>
          </w:tcPr>
          <w:p>
            <w:r>
              <w:rPr>
                <w:sz w:val="19"/>
              </w:rPr>
              <w:t>Output of a build or compile step; should not be edited manually</w:t>
            </w:r>
          </w:p>
        </w:tc>
      </w:tr>
      <w:tr>
        <w:tc>
          <w:tcPr>
            <w:tcW w:type="dxa" w:w="4320"/>
          </w:tcPr>
          <w:p>
            <w:r>
              <w:rPr>
                <w:sz w:val="19"/>
              </w:rPr>
            </w:r>
            <w:r>
              <w:rPr>
                <w:b/>
                <w:sz w:val="22"/>
              </w:rPr>
              <w:t>Script</w:t>
            </w:r>
            <w:r>
              <w:rPr>
                <w:sz w:val="22"/>
              </w:rPr>
            </w:r>
          </w:p>
        </w:tc>
        <w:tc>
          <w:tcPr>
            <w:tcW w:type="dxa" w:w="4320"/>
          </w:tcPr>
          <w:p>
            <w:r>
              <w:rPr>
                <w:sz w:val="19"/>
              </w:rPr>
              <w:t>Run-once or import-time script; not part of the Next.js runtime app</w:t>
            </w:r>
          </w:p>
        </w:tc>
      </w:tr>
      <w:tr>
        <w:tc>
          <w:tcPr>
            <w:tcW w:type="dxa" w:w="4320"/>
          </w:tcPr>
          <w:p>
            <w:r>
              <w:rPr>
                <w:sz w:val="19"/>
              </w:rPr>
            </w:r>
            <w:r>
              <w:rPr>
                <w:b/>
                <w:sz w:val="22"/>
              </w:rPr>
              <w:t>Placeholder</w:t>
            </w:r>
            <w:r>
              <w:rPr>
                <w:sz w:val="22"/>
              </w:rPr>
            </w:r>
          </w:p>
        </w:tc>
        <w:tc>
          <w:tcPr>
            <w:tcW w:type="dxa" w:w="4320"/>
          </w:tcPr>
          <w:p>
            <w:r>
              <w:rPr>
                <w:sz w:val="19"/>
              </w:rPr>
              <w:t>UI shell that exists but has no implemented functionality</w:t>
            </w:r>
          </w:p>
        </w:tc>
      </w:tr>
      <w:tr>
        <w:tc>
          <w:tcPr>
            <w:tcW w:type="dxa" w:w="4320"/>
          </w:tcPr>
          <w:p>
            <w:r>
              <w:rPr>
                <w:sz w:val="19"/>
              </w:rPr>
            </w:r>
            <w:r>
              <w:rPr>
                <w:b/>
                <w:sz w:val="22"/>
              </w:rPr>
              <w:t>Misnamed</w:t>
            </w:r>
            <w:r>
              <w:rPr>
                <w:sz w:val="22"/>
              </w:rPr>
            </w:r>
          </w:p>
        </w:tc>
        <w:tc>
          <w:tcPr>
            <w:tcW w:type="dxa" w:w="4320"/>
          </w:tcPr>
          <w:p>
            <w:r>
              <w:rPr>
                <w:sz w:val="19"/>
              </w:rPr>
              <w:t>File exists and has code, but filename prevents it from fulfilling its purpose</w:t>
            </w:r>
          </w:p>
        </w:tc>
      </w:tr>
      <w:tr>
        <w:tc>
          <w:tcPr>
            <w:tcW w:type="dxa" w:w="4320"/>
          </w:tcPr>
          <w:p>
            <w:r>
              <w:rPr>
                <w:sz w:val="19"/>
              </w:rPr>
            </w:r>
            <w:r>
              <w:rPr>
                <w:b/>
                <w:sz w:val="22"/>
              </w:rPr>
              <w:t>Doc</w:t>
            </w:r>
            <w:r>
              <w:rPr>
                <w:sz w:val="22"/>
              </w:rPr>
            </w:r>
          </w:p>
        </w:tc>
        <w:tc>
          <w:tcPr>
            <w:tcW w:type="dxa" w:w="4320"/>
          </w:tcPr>
          <w:p>
            <w:r>
              <w:rPr>
                <w:sz w:val="19"/>
              </w:rPr>
              <w:t>Markdown documentation file — not code</w:t>
            </w:r>
          </w:p>
        </w:tc>
      </w:tr>
      <w:tr>
        <w:tc>
          <w:tcPr>
            <w:tcW w:type="dxa" w:w="4320"/>
          </w:tcPr>
          <w:p>
            <w:r>
              <w:rPr>
                <w:sz w:val="19"/>
              </w:rPr>
            </w:r>
            <w:r>
              <w:rPr>
                <w:b/>
                <w:sz w:val="22"/>
              </w:rPr>
              <w:t>Untracked</w:t>
            </w:r>
            <w:r>
              <w:rPr>
                <w:sz w:val="22"/>
              </w:rPr>
            </w:r>
          </w:p>
        </w:tc>
        <w:tc>
          <w:tcPr>
            <w:tcW w:type="dxa" w:w="4320"/>
          </w:tcPr>
          <w:p>
            <w:r>
              <w:rPr>
                <w:sz w:val="19"/>
              </w:rPr>
              <w:t>Not committed to git</w:t>
            </w:r>
          </w:p>
        </w:tc>
      </w:tr>
    </w:tbl>
    <w:p/>
    <w:p/>
    <w:p>
      <w:pPr>
        <w:pStyle w:val="Heading2"/>
      </w:pPr>
      <w:r>
        <w:rPr>
          <w:color w:val="1E40AF"/>
          <w:sz w:val="30"/>
        </w:rPr>
        <w:t>Root-Level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proxy.ts</w:t>
            </w:r>
            <w:r>
              <w:rPr>
                <w:sz w:val="22"/>
              </w:rPr>
            </w:r>
          </w:p>
        </w:tc>
        <w:tc>
          <w:tcPr>
            <w:tcW w:type="dxa" w:w="2880"/>
          </w:tcPr>
          <w:p>
            <w:r>
              <w:rPr>
                <w:sz w:val="19"/>
              </w:rPr>
            </w:r>
            <w:r>
              <w:rPr>
                <w:b/>
                <w:sz w:val="22"/>
              </w:rPr>
              <w:t>Misnamed</w:t>
            </w:r>
            <w:r>
              <w:rPr>
                <w:sz w:val="22"/>
              </w:rPr>
            </w:r>
          </w:p>
        </w:tc>
        <w:tc>
          <w:tcPr>
            <w:tcW w:type="dxa" w:w="2880"/>
          </w:tcPr>
          <w:p>
            <w:r>
              <w:rPr>
                <w:sz w:val="19"/>
              </w:rPr>
              <w:t xml:space="preserve">Exports a </w:t>
            </w:r>
            <w:r>
              <w:rPr>
                <w:rFonts w:ascii="Courier New" w:hAnsi="Courier New"/>
                <w:sz w:val="20"/>
              </w:rPr>
              <w:t>proxy</w:t>
            </w:r>
            <w:r>
              <w:rPr>
                <w:sz w:val="22"/>
              </w:rPr>
              <w:t xml:space="preserve"> function; Next.js edge middleware must be named </w:t>
            </w:r>
            <w:r>
              <w:rPr>
                <w:rFonts w:ascii="Courier New" w:hAnsi="Courier New"/>
                <w:sz w:val="20"/>
              </w:rPr>
              <w:t>middleware.ts</w:t>
            </w:r>
            <w:r>
              <w:rPr>
                <w:sz w:val="22"/>
              </w:rPr>
              <w:t xml:space="preserve"> to be picked up by the framework. Currently dormant — has no effect on routing.</w:t>
            </w:r>
          </w:p>
        </w:tc>
      </w:tr>
      <w:tr>
        <w:tc>
          <w:tcPr>
            <w:tcW w:type="dxa" w:w="2880"/>
          </w:tcPr>
          <w:p>
            <w:r>
              <w:rPr>
                <w:sz w:val="19"/>
              </w:rPr>
            </w:r>
            <w:r>
              <w:rPr>
                <w:rFonts w:ascii="Courier New" w:hAnsi="Courier New"/>
                <w:sz w:val="20"/>
              </w:rPr>
              <w:t>tsconfig.tsbuildinfo</w:t>
            </w:r>
            <w:r>
              <w:rPr>
                <w:sz w:val="22"/>
              </w:rPr>
            </w:r>
          </w:p>
        </w:tc>
        <w:tc>
          <w:tcPr>
            <w:tcW w:type="dxa" w:w="2880"/>
          </w:tcPr>
          <w:p>
            <w:r>
              <w:rPr>
                <w:sz w:val="19"/>
              </w:rPr>
            </w:r>
            <w:r>
              <w:rPr>
                <w:b/>
                <w:sz w:val="22"/>
              </w:rPr>
              <w:t>Generated</w:t>
            </w:r>
            <w:r>
              <w:rPr>
                <w:sz w:val="22"/>
              </w:rPr>
            </w:r>
          </w:p>
        </w:tc>
        <w:tc>
          <w:tcPr>
            <w:tcW w:type="dxa" w:w="2880"/>
          </w:tcPr>
          <w:p>
            <w:r>
              <w:rPr>
                <w:sz w:val="19"/>
              </w:rPr>
              <w:t xml:space="preserve">TypeScript incremental build cache. Should be in </w:t>
            </w:r>
            <w:r>
              <w:rPr>
                <w:rFonts w:ascii="Courier New" w:hAnsi="Courier New"/>
                <w:sz w:val="20"/>
              </w:rPr>
              <w:t>.gitignore</w:t>
            </w:r>
            <w:r>
              <w:rPr>
                <w:sz w:val="22"/>
              </w:rPr>
              <w:t>; currently tracked in git.</w:t>
            </w:r>
          </w:p>
        </w:tc>
      </w:tr>
      <w:tr>
        <w:tc>
          <w:tcPr>
            <w:tcW w:type="dxa" w:w="2880"/>
          </w:tcPr>
          <w:p>
            <w:r>
              <w:rPr>
                <w:sz w:val="19"/>
              </w:rPr>
            </w:r>
            <w:r>
              <w:rPr>
                <w:rFonts w:ascii="Courier New" w:hAnsi="Courier New"/>
                <w:sz w:val="20"/>
              </w:rPr>
              <w:t>postcss.config.js</w:t>
            </w:r>
            <w:r>
              <w:rPr>
                <w:sz w:val="22"/>
              </w:rPr>
            </w:r>
          </w:p>
        </w:tc>
        <w:tc>
          <w:tcPr>
            <w:tcW w:type="dxa" w:w="2880"/>
          </w:tcPr>
          <w:p>
            <w:r>
              <w:rPr>
                <w:sz w:val="19"/>
              </w:rPr>
            </w:r>
            <w:r>
              <w:rPr>
                <w:b/>
                <w:sz w:val="22"/>
              </w:rPr>
              <w:t>Active</w:t>
            </w:r>
            <w:r>
              <w:rPr>
                <w:sz w:val="22"/>
              </w:rPr>
            </w:r>
          </w:p>
        </w:tc>
        <w:tc>
          <w:tcPr>
            <w:tcW w:type="dxa" w:w="2880"/>
          </w:tcPr>
          <w:p>
            <w:r>
              <w:rPr>
                <w:sz w:val="19"/>
              </w:rPr>
              <w:t>Part of the dual CSS pipeline alongside Tailwind CLI.</w:t>
            </w:r>
          </w:p>
        </w:tc>
      </w:tr>
      <w:tr>
        <w:tc>
          <w:tcPr>
            <w:tcW w:type="dxa" w:w="2880"/>
          </w:tcPr>
          <w:p>
            <w:r>
              <w:rPr>
                <w:sz w:val="19"/>
              </w:rPr>
            </w:r>
            <w:r>
              <w:rPr>
                <w:rFonts w:ascii="Courier New" w:hAnsi="Courier New"/>
                <w:sz w:val="20"/>
              </w:rPr>
              <w:t>vercel.json</w:t>
            </w:r>
            <w:r>
              <w:rPr>
                <w:sz w:val="22"/>
              </w:rPr>
            </w:r>
          </w:p>
        </w:tc>
        <w:tc>
          <w:tcPr>
            <w:tcW w:type="dxa" w:w="2880"/>
          </w:tcPr>
          <w:p>
            <w:r>
              <w:rPr>
                <w:sz w:val="19"/>
              </w:rPr>
            </w:r>
            <w:r>
              <w:rPr>
                <w:b/>
                <w:sz w:val="22"/>
              </w:rPr>
              <w:t>Active</w:t>
            </w:r>
            <w:r>
              <w:rPr>
                <w:sz w:val="22"/>
              </w:rPr>
            </w:r>
          </w:p>
        </w:tc>
        <w:tc>
          <w:tcPr>
            <w:tcW w:type="dxa" w:w="2880"/>
          </w:tcPr>
          <w:p>
            <w:r>
              <w:rPr>
                <w:sz w:val="19"/>
              </w:rPr>
              <w:t>Vercel deploy configuration.</w:t>
            </w:r>
          </w:p>
        </w:tc>
      </w:tr>
      <w:tr>
        <w:tc>
          <w:tcPr>
            <w:tcW w:type="dxa" w:w="2880"/>
          </w:tcPr>
          <w:p>
            <w:r>
              <w:rPr>
                <w:sz w:val="19"/>
              </w:rPr>
            </w:r>
            <w:r>
              <w:rPr>
                <w:rFonts w:ascii="Courier New" w:hAnsi="Courier New"/>
                <w:sz w:val="20"/>
              </w:rPr>
              <w:t>Estabizz_Project_Documentation.docx</w:t>
            </w:r>
            <w:r>
              <w:rPr>
                <w:sz w:val="22"/>
              </w:rPr>
            </w:r>
          </w:p>
        </w:tc>
        <w:tc>
          <w:tcPr>
            <w:tcW w:type="dxa" w:w="2880"/>
          </w:tcPr>
          <w:p>
            <w:r>
              <w:rPr>
                <w:sz w:val="19"/>
              </w:rPr>
            </w:r>
            <w:r>
              <w:rPr>
                <w:b/>
                <w:sz w:val="22"/>
              </w:rPr>
              <w:t>Untracked</w:t>
            </w:r>
            <w:r>
              <w:rPr>
                <w:sz w:val="22"/>
              </w:rPr>
            </w:r>
          </w:p>
        </w:tc>
        <w:tc>
          <w:tcPr>
            <w:tcW w:type="dxa" w:w="2880"/>
          </w:tcPr>
          <w:p>
            <w:r>
              <w:rPr>
                <w:sz w:val="19"/>
              </w:rPr>
              <w:t>Generated Word document for sharing with other AI agents. Not committed to git. Can be regenerated from the markdown docs.</w:t>
            </w:r>
          </w:p>
        </w:tc>
      </w:tr>
      <w:tr>
        <w:tc>
          <w:tcPr>
            <w:tcW w:type="dxa" w:w="2880"/>
          </w:tcPr>
          <w:p>
            <w:r>
              <w:rPr>
                <w:sz w:val="19"/>
              </w:rPr>
            </w:r>
            <w:r>
              <w:rPr>
                <w:rFonts w:ascii="Courier New" w:hAnsi="Courier New"/>
                <w:sz w:val="20"/>
              </w:rPr>
              <w:t>scratch/</w:t>
            </w:r>
            <w:r>
              <w:rPr>
                <w:sz w:val="22"/>
              </w:rPr>
            </w:r>
          </w:p>
        </w:tc>
        <w:tc>
          <w:tcPr>
            <w:tcW w:type="dxa" w:w="2880"/>
          </w:tcPr>
          <w:p>
            <w:r>
              <w:rPr>
                <w:sz w:val="19"/>
              </w:rPr>
              <w:t>*(empty directory)*</w:t>
            </w:r>
          </w:p>
        </w:tc>
        <w:tc>
          <w:tcPr>
            <w:tcW w:type="dxa" w:w="2880"/>
          </w:tcPr>
          <w:p>
            <w:r>
              <w:rPr>
                <w:sz w:val="19"/>
              </w:rPr>
              <w:t>No files; can be removed or gitignored.</w:t>
            </w:r>
          </w:p>
        </w:tc>
      </w:tr>
    </w:tbl>
    <w:p/>
    <w:p/>
    <w:p>
      <w:pPr>
        <w:pStyle w:val="Heading2"/>
      </w:pPr>
      <w:r>
        <w:rPr>
          <w:color w:val="1E40AF"/>
          <w:sz w:val="30"/>
        </w:rPr>
        <w:t>lib/ Notable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lib/regulatoryUpdates.ts</w:t>
            </w:r>
            <w:r>
              <w:rPr>
                <w:sz w:val="22"/>
              </w:rPr>
            </w:r>
          </w:p>
        </w:tc>
        <w:tc>
          <w:tcPr>
            <w:tcW w:type="dxa" w:w="2880"/>
          </w:tcPr>
          <w:p>
            <w:r>
              <w:rPr>
                <w:sz w:val="19"/>
              </w:rPr>
            </w:r>
            <w:r>
              <w:rPr>
                <w:b/>
                <w:sz w:val="22"/>
              </w:rPr>
              <w:t>Legacy</w:t>
            </w:r>
            <w:r>
              <w:rPr>
                <w:sz w:val="22"/>
              </w:rPr>
            </w:r>
          </w:p>
        </w:tc>
        <w:tc>
          <w:tcPr>
            <w:tcW w:type="dxa" w:w="2880"/>
          </w:tcPr>
          <w:p>
            <w:r>
              <w:rPr>
                <w:sz w:val="19"/>
              </w:rPr>
              <w:t xml:space="preserve">Static TypeScript array of </w:t>
            </w:r>
            <w:r>
              <w:rPr>
                <w:rFonts w:ascii="Courier New" w:hAnsi="Courier New"/>
                <w:sz w:val="20"/>
              </w:rPr>
              <w:t>RegulatoryUpdate</w:t>
            </w:r>
            <w:r>
              <w:rPr>
                <w:sz w:val="22"/>
              </w:rPr>
              <w:t xml:space="preserve"> objects. Superseded by the </w:t>
            </w:r>
            <w:r>
              <w:rPr>
                <w:rFonts w:ascii="Courier New" w:hAnsi="Courier New"/>
                <w:sz w:val="20"/>
              </w:rPr>
              <w:t>RegulatoryUpdate</w:t>
            </w:r>
            <w:r>
              <w:rPr>
                <w:sz w:val="22"/>
              </w:rPr>
              <w:t xml:space="preserve"> Mongoose model in </w:t>
            </w:r>
            <w:r>
              <w:rPr>
                <w:rFonts w:ascii="Courier New" w:hAnsi="Courier New"/>
                <w:sz w:val="20"/>
              </w:rPr>
              <w:t>lib/models/RegulatoryUpdate.ts</w:t>
            </w:r>
            <w:r>
              <w:rPr>
                <w:sz w:val="22"/>
              </w:rPr>
              <w:t xml:space="preserve"> and the </w:t>
            </w:r>
            <w:r>
              <w:rPr>
                <w:rFonts w:ascii="Courier New" w:hAnsi="Courier New"/>
                <w:sz w:val="20"/>
              </w:rPr>
              <w:t>lib/regulatory/</w:t>
            </w:r>
            <w:r>
              <w:rPr>
                <w:sz w:val="22"/>
              </w:rPr>
              <w:t xml:space="preserve"> module. Not imported anywhere in the active Next.js app.</w:t>
            </w:r>
          </w:p>
        </w:tc>
      </w:tr>
      <w:tr>
        <w:tc>
          <w:tcPr>
            <w:tcW w:type="dxa" w:w="2880"/>
          </w:tcPr>
          <w:p>
            <w:r>
              <w:rPr>
                <w:sz w:val="19"/>
              </w:rPr>
            </w:r>
            <w:r>
              <w:rPr>
                <w:rFonts w:ascii="Courier New" w:hAnsi="Courier New"/>
                <w:sz w:val="20"/>
              </w:rPr>
              <w:t>lib/blog/sampleBlogs.ts</w:t>
            </w:r>
            <w:r>
              <w:rPr>
                <w:sz w:val="22"/>
              </w:rPr>
            </w:r>
          </w:p>
        </w:tc>
        <w:tc>
          <w:tcPr>
            <w:tcW w:type="dxa" w:w="2880"/>
          </w:tcPr>
          <w:p>
            <w:r>
              <w:rPr>
                <w:sz w:val="19"/>
              </w:rPr>
            </w:r>
            <w:r>
              <w:rPr>
                <w:b/>
                <w:sz w:val="22"/>
              </w:rPr>
              <w:t>Legacy</w:t>
            </w:r>
            <w:r>
              <w:rPr>
                <w:sz w:val="22"/>
              </w:rPr>
            </w:r>
          </w:p>
        </w:tc>
        <w:tc>
          <w:tcPr>
            <w:tcW w:type="dxa" w:w="2880"/>
          </w:tcPr>
          <w:p>
            <w:r>
              <w:rPr>
                <w:sz w:val="19"/>
              </w:rPr>
              <w:t xml:space="preserve">Exports </w:t>
            </w:r>
            <w:r>
              <w:rPr>
                <w:rFonts w:ascii="Courier New" w:hAnsi="Courier New"/>
                <w:sz w:val="20"/>
              </w:rPr>
              <w:t>export const sampleBlogs: Blog[] = []</w:t>
            </w:r>
            <w:r>
              <w:rPr>
                <w:sz w:val="22"/>
              </w:rPr>
              <w:t xml:space="preserve"> — an empty array. Vestige of a prototype stage; not imported anywhere in the active app. Safe to delete.</w:t>
            </w:r>
          </w:p>
        </w:tc>
      </w:tr>
      <w:tr>
        <w:tc>
          <w:tcPr>
            <w:tcW w:type="dxa" w:w="2880"/>
          </w:tcPr>
          <w:p>
            <w:r>
              <w:rPr>
                <w:sz w:val="19"/>
              </w:rPr>
            </w:r>
            <w:r>
              <w:rPr>
                <w:rFonts w:ascii="Courier New" w:hAnsi="Courier New"/>
                <w:sz w:val="20"/>
              </w:rPr>
              <w:t>lib/servicePageTemplate.ts</w:t>
            </w:r>
            <w:r>
              <w:rPr>
                <w:sz w:val="22"/>
              </w:rPr>
            </w:r>
          </w:p>
        </w:tc>
        <w:tc>
          <w:tcPr>
            <w:tcW w:type="dxa" w:w="2880"/>
          </w:tcPr>
          <w:p>
            <w:r>
              <w:rPr>
                <w:sz w:val="19"/>
              </w:rPr>
            </w:r>
            <w:r>
              <w:rPr>
                <w:b/>
                <w:sz w:val="22"/>
              </w:rPr>
              <w:t>Active (doc-as-code)</w:t>
            </w:r>
            <w:r>
              <w:rPr>
                <w:sz w:val="22"/>
              </w:rPr>
            </w:r>
          </w:p>
        </w:tc>
        <w:tc>
          <w:tcPr>
            <w:tcW w:type="dxa" w:w="2880"/>
          </w:tcPr>
          <w:p>
            <w:r>
              <w:rPr>
                <w:sz w:val="19"/>
              </w:rPr>
              <w:t xml:space="preserve">Exports </w:t>
            </w:r>
            <w:r>
              <w:rPr>
                <w:rFonts w:ascii="Courier New" w:hAnsi="Courier New"/>
                <w:sz w:val="20"/>
              </w:rPr>
              <w:t>mandatoryLicencePageSections</w:t>
            </w:r>
            <w:r>
              <w:rPr>
                <w:sz w:val="22"/>
              </w:rPr>
              <w:t xml:space="preserve"> — an array listing the required sections for a service page. Used as a content reference guide by developers/agents writing page content; not imported by runtime code. Intentionally kept as code rather than markdown for type-checking purposes.</w:t>
            </w:r>
          </w:p>
        </w:tc>
      </w:tr>
      <w:tr>
        <w:tc>
          <w:tcPr>
            <w:tcW w:type="dxa" w:w="2880"/>
          </w:tcPr>
          <w:p>
            <w:r>
              <w:rPr>
                <w:sz w:val="19"/>
              </w:rPr>
            </w:r>
            <w:r>
              <w:rPr>
                <w:rFonts w:ascii="Courier New" w:hAnsi="Courier New"/>
                <w:sz w:val="20"/>
              </w:rPr>
              <w:t>lib/publicContent/discovery.mjs</w:t>
            </w:r>
            <w:r>
              <w:rPr>
                <w:sz w:val="22"/>
              </w:rPr>
            </w:r>
          </w:p>
        </w:tc>
        <w:tc>
          <w:tcPr>
            <w:tcW w:type="dxa" w:w="2880"/>
          </w:tcPr>
          <w:p>
            <w:r>
              <w:rPr>
                <w:sz w:val="19"/>
              </w:rPr>
            </w:r>
            <w:r>
              <w:rPr>
                <w:b/>
                <w:sz w:val="22"/>
              </w:rPr>
              <w:t>Script</w:t>
            </w:r>
            <w:r>
              <w:rPr>
                <w:sz w:val="22"/>
              </w:rPr>
            </w:r>
          </w:p>
        </w:tc>
        <w:tc>
          <w:tcPr>
            <w:tcW w:type="dxa" w:w="2880"/>
          </w:tcPr>
          <w:p>
            <w:r>
              <w:rPr>
                <w:sz w:val="19"/>
              </w:rPr>
              <w:t xml:space="preserve">ESM module that scans the </w:t>
            </w:r>
            <w:r>
              <w:rPr>
                <w:rFonts w:ascii="Courier New" w:hAnsi="Courier New"/>
                <w:sz w:val="20"/>
              </w:rPr>
              <w:t>app/</w:t>
            </w:r>
            <w:r>
              <w:rPr>
                <w:sz w:val="22"/>
              </w:rPr>
              <w:t xml:space="preserve"> directory to discover public content page routes. Used by </w:t>
            </w:r>
            <w:r>
              <w:rPr>
                <w:rFonts w:ascii="Courier New" w:hAnsi="Courier New"/>
                <w:sz w:val="20"/>
              </w:rPr>
              <w:t>scripts/importExistingPublicContentPages.mjs</w:t>
            </w:r>
            <w:r>
              <w:rPr>
                <w:sz w:val="22"/>
              </w:rPr>
              <w:t xml:space="preserve"> only. Not imported by the Next.js app. The </w:t>
            </w:r>
            <w:r>
              <w:rPr>
                <w:rFonts w:ascii="Courier New" w:hAnsi="Courier New"/>
                <w:sz w:val="20"/>
              </w:rPr>
              <w:t>.mjs</w:t>
            </w:r>
            <w:r>
              <w:rPr>
                <w:sz w:val="22"/>
              </w:rPr>
              <w:t xml:space="preserve"> extension is intentional (ESM required for the import scripts).</w:t>
            </w:r>
          </w:p>
        </w:tc>
      </w:tr>
      <w:tr>
        <w:tc>
          <w:tcPr>
            <w:tcW w:type="dxa" w:w="2880"/>
          </w:tcPr>
          <w:p>
            <w:r>
              <w:rPr>
                <w:sz w:val="19"/>
              </w:rPr>
            </w:r>
            <w:r>
              <w:rPr>
                <w:rFonts w:ascii="Courier New" w:hAnsi="Courier New"/>
                <w:sz w:val="20"/>
              </w:rPr>
              <w:t>lib/anthropic.ts</w:t>
            </w:r>
            <w:r>
              <w:rPr>
                <w:sz w:val="22"/>
              </w:rPr>
            </w:r>
          </w:p>
        </w:tc>
        <w:tc>
          <w:tcPr>
            <w:tcW w:type="dxa" w:w="2880"/>
          </w:tcPr>
          <w:p>
            <w:r>
              <w:rPr>
                <w:sz w:val="19"/>
              </w:rPr>
            </w:r>
            <w:r>
              <w:rPr>
                <w:b/>
                <w:sz w:val="22"/>
              </w:rPr>
              <w:t>Dormant</w:t>
            </w:r>
            <w:r>
              <w:rPr>
                <w:sz w:val="22"/>
              </w:rPr>
            </w:r>
          </w:p>
        </w:tc>
        <w:tc>
          <w:tcPr>
            <w:tcW w:type="dxa" w:w="2880"/>
          </w:tcPr>
          <w:p>
            <w:r>
              <w:rPr>
                <w:sz w:val="19"/>
              </w:rPr>
              <w:t xml:space="preserve">Initialises the Anthropic SDK client. </w:t>
            </w:r>
            <w:r>
              <w:rPr>
                <w:rFonts w:ascii="Courier New" w:hAnsi="Courier New"/>
                <w:sz w:val="20"/>
              </w:rPr>
              <w:t>ANTHROPIC_API_KEY</w:t>
            </w:r>
            <w:r>
              <w:rPr>
                <w:sz w:val="22"/>
              </w:rPr>
              <w:t xml:space="preserve"> is set in </w:t>
            </w:r>
            <w:r>
              <w:rPr>
                <w:rFonts w:ascii="Courier New" w:hAnsi="Courier New"/>
                <w:sz w:val="20"/>
              </w:rPr>
              <w:t>.env.local</w:t>
            </w:r>
            <w:r>
              <w:rPr>
                <w:sz w:val="22"/>
              </w:rPr>
              <w:t xml:space="preserve"> but the two API routes that would use this (</w:t>
            </w:r>
            <w:r>
              <w:rPr>
                <w:rFonts w:ascii="Courier New" w:hAnsi="Courier New"/>
                <w:sz w:val="20"/>
              </w:rPr>
              <w:t>/api/chat</w:t>
            </w:r>
            <w:r>
              <w:rPr>
                <w:sz w:val="22"/>
              </w:rPr>
              <w:t xml:space="preserve"> and </w:t>
            </w:r>
            <w:r>
              <w:rPr>
                <w:rFonts w:ascii="Courier New" w:hAnsi="Courier New"/>
                <w:sz w:val="20"/>
              </w:rPr>
              <w:t>/api/recommend-services</w:t>
            </w:r>
            <w:r>
              <w:rPr>
                <w:sz w:val="22"/>
              </w:rPr>
              <w:t>) have no auth guard — they must not be activated until rate limiting is in place.</w:t>
            </w:r>
          </w:p>
        </w:tc>
      </w:tr>
    </w:tbl>
    <w:p/>
    <w:p/>
    <w:p>
      <w:pPr>
        <w:pStyle w:val="Heading2"/>
      </w:pPr>
      <w:r>
        <w:rPr>
          <w:color w:val="1E40AF"/>
          <w:sz w:val="30"/>
        </w:rPr>
        <w:t>app/admin/ Notable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app/admin/media/page.tsx</w:t>
            </w:r>
            <w:r>
              <w:rPr>
                <w:sz w:val="22"/>
              </w:rPr>
            </w:r>
          </w:p>
        </w:tc>
        <w:tc>
          <w:tcPr>
            <w:tcW w:type="dxa" w:w="2880"/>
          </w:tcPr>
          <w:p>
            <w:r>
              <w:rPr>
                <w:sz w:val="19"/>
              </w:rPr>
            </w:r>
            <w:r>
              <w:rPr>
                <w:b/>
                <w:sz w:val="22"/>
              </w:rPr>
              <w:t>Redirect-only</w:t>
            </w:r>
            <w:r>
              <w:rPr>
                <w:sz w:val="22"/>
              </w:rPr>
            </w:r>
          </w:p>
        </w:tc>
        <w:tc>
          <w:tcPr>
            <w:tcW w:type="dxa" w:w="2880"/>
          </w:tcPr>
          <w:p>
            <w:r>
              <w:rPr>
                <w:sz w:val="19"/>
              </w:rPr>
              <w:t xml:space="preserve">Redirects </w:t>
            </w:r>
            <w:r>
              <w:rPr>
                <w:rFonts w:ascii="Courier New" w:hAnsi="Courier New"/>
                <w:sz w:val="20"/>
              </w:rPr>
              <w:t>/admin/media</w:t>
            </w:r>
            <w:r>
              <w:rPr>
                <w:sz w:val="22"/>
              </w:rPr>
              <w:t xml:space="preserve"> → </w:t>
            </w:r>
            <w:r>
              <w:rPr>
                <w:rFonts w:ascii="Courier New" w:hAnsi="Courier New"/>
                <w:sz w:val="20"/>
              </w:rPr>
              <w:t>/admin/media-library</w:t>
            </w:r>
            <w:r>
              <w:rPr>
                <w:sz w:val="22"/>
              </w:rPr>
              <w:t xml:space="preserve">. The canonical route is </w:t>
            </w:r>
            <w:r>
              <w:rPr>
                <w:rFonts w:ascii="Courier New" w:hAnsi="Courier New"/>
                <w:sz w:val="20"/>
              </w:rPr>
              <w:t>/admin/media-library</w:t>
            </w:r>
            <w:r>
              <w:rPr>
                <w:sz w:val="22"/>
              </w:rPr>
              <w:t>.</w:t>
            </w:r>
          </w:p>
        </w:tc>
      </w:tr>
      <w:tr>
        <w:tc>
          <w:tcPr>
            <w:tcW w:type="dxa" w:w="2880"/>
          </w:tcPr>
          <w:p>
            <w:r>
              <w:rPr>
                <w:sz w:val="19"/>
              </w:rPr>
            </w:r>
            <w:r>
              <w:rPr>
                <w:rFonts w:ascii="Courier New" w:hAnsi="Courier New"/>
                <w:sz w:val="20"/>
              </w:rPr>
              <w:t>app/admin/authors/page.tsx</w:t>
            </w:r>
            <w:r>
              <w:rPr>
                <w:sz w:val="22"/>
              </w:rPr>
            </w:r>
          </w:p>
        </w:tc>
        <w:tc>
          <w:tcPr>
            <w:tcW w:type="dxa" w:w="2880"/>
          </w:tcPr>
          <w:p>
            <w:r>
              <w:rPr>
                <w:sz w:val="19"/>
              </w:rPr>
            </w:r>
            <w:r>
              <w:rPr>
                <w:b/>
                <w:sz w:val="22"/>
              </w:rPr>
              <w:t>Placeholder</w:t>
            </w:r>
            <w:r>
              <w:rPr>
                <w:sz w:val="22"/>
              </w:rPr>
            </w:r>
          </w:p>
        </w:tc>
        <w:tc>
          <w:tcPr>
            <w:tcW w:type="dxa" w:w="2880"/>
          </w:tcPr>
          <w:p>
            <w:r>
              <w:rPr>
                <w:sz w:val="19"/>
              </w:rPr>
              <w:t>UI stub for an Authors management screen. No backend implemented.</w:t>
            </w:r>
          </w:p>
        </w:tc>
      </w:tr>
      <w:tr>
        <w:tc>
          <w:tcPr>
            <w:tcW w:type="dxa" w:w="2880"/>
          </w:tcPr>
          <w:p>
            <w:r>
              <w:rPr>
                <w:sz w:val="19"/>
              </w:rPr>
            </w:r>
            <w:r>
              <w:rPr>
                <w:rFonts w:ascii="Courier New" w:hAnsi="Courier New"/>
                <w:sz w:val="20"/>
              </w:rPr>
              <w:t>app/admin/categories/page.tsx</w:t>
            </w:r>
            <w:r>
              <w:rPr>
                <w:sz w:val="22"/>
              </w:rPr>
            </w:r>
          </w:p>
        </w:tc>
        <w:tc>
          <w:tcPr>
            <w:tcW w:type="dxa" w:w="2880"/>
          </w:tcPr>
          <w:p>
            <w:r>
              <w:rPr>
                <w:sz w:val="19"/>
              </w:rPr>
            </w:r>
            <w:r>
              <w:rPr>
                <w:b/>
                <w:sz w:val="22"/>
              </w:rPr>
              <w:t>Placeholder</w:t>
            </w:r>
            <w:r>
              <w:rPr>
                <w:sz w:val="22"/>
              </w:rPr>
            </w:r>
          </w:p>
        </w:tc>
        <w:tc>
          <w:tcPr>
            <w:tcW w:type="dxa" w:w="2880"/>
          </w:tcPr>
          <w:p>
            <w:r>
              <w:rPr>
                <w:sz w:val="19"/>
              </w:rPr>
              <w:t xml:space="preserve">UI stub for a Blog Categories editor. The actual categories are hardcoded in </w:t>
            </w:r>
            <w:r>
              <w:rPr>
                <w:rFonts w:ascii="Courier New" w:hAnsi="Courier New"/>
                <w:sz w:val="20"/>
              </w:rPr>
              <w:t>lib/blog/categories.ts</w:t>
            </w:r>
            <w:r>
              <w:rPr>
                <w:sz w:val="22"/>
              </w:rPr>
              <w:t xml:space="preserve"> (TD-003).</w:t>
            </w:r>
          </w:p>
        </w:tc>
      </w:tr>
      <w:tr>
        <w:tc>
          <w:tcPr>
            <w:tcW w:type="dxa" w:w="2880"/>
          </w:tcPr>
          <w:p>
            <w:r>
              <w:rPr>
                <w:sz w:val="19"/>
              </w:rPr>
            </w:r>
            <w:r>
              <w:rPr>
                <w:rFonts w:ascii="Courier New" w:hAnsi="Courier New"/>
                <w:sz w:val="20"/>
              </w:rPr>
              <w:t>app/admin/settings/page.tsx</w:t>
            </w:r>
            <w:r>
              <w:rPr>
                <w:sz w:val="22"/>
              </w:rPr>
            </w:r>
          </w:p>
        </w:tc>
        <w:tc>
          <w:tcPr>
            <w:tcW w:type="dxa" w:w="2880"/>
          </w:tcPr>
          <w:p>
            <w:r>
              <w:rPr>
                <w:sz w:val="19"/>
              </w:rPr>
            </w:r>
            <w:r>
              <w:rPr>
                <w:b/>
                <w:sz w:val="22"/>
              </w:rPr>
              <w:t>Placeholder</w:t>
            </w:r>
            <w:r>
              <w:rPr>
                <w:sz w:val="22"/>
              </w:rPr>
            </w:r>
          </w:p>
        </w:tc>
        <w:tc>
          <w:tcPr>
            <w:tcW w:type="dxa" w:w="2880"/>
          </w:tcPr>
          <w:p>
            <w:r>
              <w:rPr>
                <w:sz w:val="19"/>
              </w:rPr>
              <w:t>UI stub for Admin Settings. No backend implemented.</w:t>
            </w:r>
          </w:p>
        </w:tc>
      </w:tr>
      <w:tr>
        <w:tc>
          <w:tcPr>
            <w:tcW w:type="dxa" w:w="2880"/>
          </w:tcPr>
          <w:p>
            <w:r>
              <w:rPr>
                <w:sz w:val="19"/>
              </w:rPr>
            </w:r>
            <w:r>
              <w:rPr>
                <w:rFonts w:ascii="Courier New" w:hAnsi="Courier New"/>
                <w:sz w:val="20"/>
              </w:rPr>
              <w:t>app/admin/content-pages/[slug]/edit/page.tsx</w:t>
            </w:r>
            <w:r>
              <w:rPr>
                <w:sz w:val="22"/>
              </w:rPr>
            </w:r>
          </w:p>
        </w:tc>
        <w:tc>
          <w:tcPr>
            <w:tcW w:type="dxa" w:w="2880"/>
          </w:tcPr>
          <w:p>
            <w:r>
              <w:rPr>
                <w:sz w:val="19"/>
              </w:rPr>
            </w:r>
            <w:r>
              <w:rPr>
                <w:b/>
                <w:sz w:val="22"/>
              </w:rPr>
              <w:t>Placeholder</w:t>
            </w:r>
            <w:r>
              <w:rPr>
                <w:sz w:val="22"/>
              </w:rPr>
            </w:r>
          </w:p>
        </w:tc>
        <w:tc>
          <w:tcPr>
            <w:tcW w:type="dxa" w:w="2880"/>
          </w:tcPr>
          <w:p>
            <w:r>
              <w:rPr>
                <w:sz w:val="19"/>
              </w:rPr>
              <w:t xml:space="preserve">Generic edit shell for CMS content pages. Only </w:t>
            </w:r>
            <w:r>
              <w:rPr>
                <w:rFonts w:ascii="Courier New" w:hAnsi="Courier New"/>
                <w:sz w:val="20"/>
              </w:rPr>
              <w:t>nbfc-registration-in-india</w:t>
            </w:r>
            <w:r>
              <w:rPr>
                <w:sz w:val="22"/>
              </w:rPr>
              <w:t xml:space="preserve"> has a full editor (</w:t>
            </w:r>
            <w:r>
              <w:rPr>
                <w:rFonts w:ascii="Courier New" w:hAnsi="Courier New"/>
                <w:sz w:val="20"/>
              </w:rPr>
              <w:t>PublicContentVisualEditorClient.tsx</w:t>
            </w:r>
            <w:r>
              <w:rPr>
                <w:sz w:val="22"/>
              </w:rPr>
              <w:t>); all other slugs hit this stub.</w:t>
            </w:r>
          </w:p>
        </w:tc>
      </w:tr>
    </w:tbl>
    <w:p/>
    <w:p/>
    <w:p>
      <w:pPr>
        <w:pStyle w:val="Heading2"/>
      </w:pPr>
      <w:r>
        <w:rPr>
          <w:color w:val="1E40AF"/>
          <w:sz w:val="30"/>
        </w:rPr>
        <w:t>app/sebi/ Redirect-Only Routes (8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Canonical target</w:t>
            </w:r>
          </w:p>
        </w:tc>
      </w:tr>
      <w:tr>
        <w:tc>
          <w:tcPr>
            <w:tcW w:type="dxa" w:w="2880"/>
          </w:tcPr>
          <w:p>
            <w:r>
              <w:rPr>
                <w:sz w:val="19"/>
              </w:rPr>
            </w:r>
            <w:r>
              <w:rPr>
                <w:rFonts w:ascii="Courier New" w:hAnsi="Courier New"/>
                <w:sz w:val="20"/>
              </w:rPr>
              <w:t>app/sebi/investment-adviser-registration/page.tsx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/sebi/ria-registration-in-india</w:t>
            </w:r>
            <w:r>
              <w:rPr>
                <w:sz w:val="22"/>
              </w:rPr>
            </w:r>
          </w:p>
        </w:tc>
      </w:tr>
      <w:tr>
        <w:tc>
          <w:tcPr>
            <w:tcW w:type="dxa" w:w="2880"/>
          </w:tcPr>
          <w:p>
            <w:r>
              <w:rPr>
                <w:sz w:val="19"/>
              </w:rPr>
            </w:r>
            <w:r>
              <w:rPr>
                <w:rFonts w:ascii="Courier New" w:hAnsi="Courier New"/>
                <w:sz w:val="20"/>
              </w:rPr>
              <w:t>app/sebi/portfolio-manager-registration/page.tsx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/sebi/pms-registration-in-india</w:t>
            </w:r>
            <w:r>
              <w:rPr>
                <w:sz w:val="22"/>
              </w:rPr>
            </w:r>
          </w:p>
        </w:tc>
      </w:tr>
      <w:tr>
        <w:tc>
          <w:tcPr>
            <w:tcW w:type="dxa" w:w="2880"/>
          </w:tcPr>
          <w:p>
            <w:r>
              <w:rPr>
                <w:sz w:val="19"/>
              </w:rPr>
            </w:r>
            <w:r>
              <w:rPr>
                <w:rFonts w:ascii="Courier New" w:hAnsi="Courier New"/>
                <w:sz w:val="20"/>
              </w:rPr>
              <w:t>app/sebi/research-analyst-registration/page.tsx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/sebi/research-analyst-registration-in-india</w:t>
            </w:r>
            <w:r>
              <w:rPr>
                <w:sz w:val="22"/>
              </w:rPr>
            </w:r>
          </w:p>
        </w:tc>
      </w:tr>
      <w:tr>
        <w:tc>
          <w:tcPr>
            <w:tcW w:type="dxa" w:w="2880"/>
          </w:tcPr>
          <w:p>
            <w:r>
              <w:rPr>
                <w:sz w:val="19"/>
              </w:rPr>
            </w:r>
            <w:r>
              <w:rPr>
                <w:rFonts w:ascii="Courier New" w:hAnsi="Courier New"/>
                <w:sz w:val="20"/>
              </w:rPr>
              <w:t>app/sebi/sebi-ria-registration/page.tsx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/sebi/ria-registration-in-india</w:t>
            </w:r>
            <w:r>
              <w:rPr>
                <w:sz w:val="22"/>
              </w:rPr>
            </w:r>
          </w:p>
        </w:tc>
      </w:tr>
      <w:tr>
        <w:tc>
          <w:tcPr>
            <w:tcW w:type="dxa" w:w="2880"/>
          </w:tcPr>
          <w:p>
            <w:r>
              <w:rPr>
                <w:sz w:val="19"/>
              </w:rPr>
            </w:r>
            <w:r>
              <w:rPr>
                <w:rFonts w:ascii="Courier New" w:hAnsi="Courier New"/>
                <w:sz w:val="20"/>
              </w:rPr>
              <w:t>app/sebi/sebi-stock-broker-registration/page.tsx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/sebi/stock-broker-registration-in-india</w:t>
            </w:r>
            <w:r>
              <w:rPr>
                <w:sz w:val="22"/>
              </w:rPr>
            </w:r>
          </w:p>
        </w:tc>
      </w:tr>
      <w:tr>
        <w:tc>
          <w:tcPr>
            <w:tcW w:type="dxa" w:w="2880"/>
          </w:tcPr>
          <w:p>
            <w:r>
              <w:rPr>
                <w:sz w:val="19"/>
              </w:rPr>
            </w:r>
            <w:r>
              <w:rPr>
                <w:rFonts w:ascii="Courier New" w:hAnsi="Courier New"/>
                <w:sz w:val="20"/>
              </w:rPr>
              <w:t>app/sebi/social-stock-exchange-license/page.tsx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/sebi/social-stock-exchange-license-india</w:t>
            </w:r>
            <w:r>
              <w:rPr>
                <w:sz w:val="22"/>
              </w:rPr>
            </w:r>
          </w:p>
        </w:tc>
      </w:tr>
      <w:tr>
        <w:tc>
          <w:tcPr>
            <w:tcW w:type="dxa" w:w="2880"/>
          </w:tcPr>
          <w:p>
            <w:r>
              <w:rPr>
                <w:sz w:val="19"/>
              </w:rPr>
            </w:r>
            <w:r>
              <w:rPr>
                <w:rFonts w:ascii="Courier New" w:hAnsi="Courier New"/>
                <w:sz w:val="20"/>
              </w:rPr>
              <w:t>app/sebi/stock-broker-license-india/page.tsx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/sebi/stock-broker-registration-in-india</w:t>
            </w:r>
            <w:r>
              <w:rPr>
                <w:sz w:val="22"/>
              </w:rPr>
            </w:r>
          </w:p>
        </w:tc>
      </w:tr>
      <w:tr>
        <w:tc>
          <w:tcPr>
            <w:tcW w:type="dxa" w:w="2880"/>
          </w:tcPr>
          <w:p>
            <w:r>
              <w:rPr>
                <w:sz w:val="19"/>
              </w:rPr>
            </w:r>
            <w:r>
              <w:rPr>
                <w:rFonts w:ascii="Courier New" w:hAnsi="Courier New"/>
                <w:sz w:val="20"/>
              </w:rPr>
              <w:t>app/sebi/stock-broker-registration/page.tsx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/sebi/stock-broker-registration-in-india</w:t>
            </w:r>
            <w:r>
              <w:rPr>
                <w:sz w:val="22"/>
              </w:rPr>
            </w:r>
          </w:p>
        </w:tc>
      </w:tr>
    </w:tbl>
    <w:p/>
    <w:p/>
    <w:p>
      <w:pPr>
        <w:pStyle w:val="Heading2"/>
      </w:pPr>
      <w:r>
        <w:rPr>
          <w:color w:val="1E40AF"/>
          <w:sz w:val="30"/>
        </w:rPr>
        <w:t>app/ifsca/ Redirect-Only Routes (7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Canonical target</w:t>
            </w:r>
          </w:p>
        </w:tc>
      </w:tr>
      <w:tr>
        <w:tc>
          <w:tcPr>
            <w:tcW w:type="dxa" w:w="2880"/>
          </w:tcPr>
          <w:p>
            <w:r>
              <w:rPr>
                <w:sz w:val="19"/>
              </w:rPr>
            </w:r>
            <w:r>
              <w:rPr>
                <w:rFonts w:ascii="Courier New" w:hAnsi="Courier New"/>
                <w:sz w:val="20"/>
              </w:rPr>
              <w:t>app/ifsca/aircraft-leasing/page.tsx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/ifsca/aircraft-leasing-registration-in-ifsc</w:t>
            </w:r>
            <w:r>
              <w:rPr>
                <w:sz w:val="22"/>
              </w:rPr>
            </w:r>
          </w:p>
        </w:tc>
      </w:tr>
      <w:tr>
        <w:tc>
          <w:tcPr>
            <w:tcW w:type="dxa" w:w="2880"/>
          </w:tcPr>
          <w:p>
            <w:r>
              <w:rPr>
                <w:sz w:val="19"/>
              </w:rPr>
            </w:r>
            <w:r>
              <w:rPr>
                <w:rFonts w:ascii="Courier New" w:hAnsi="Courier New"/>
                <w:sz w:val="20"/>
              </w:rPr>
              <w:t>app/ifsca/batf-services/page.tsx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/ifsca/batf-services-registration-in-gift-ifsc</w:t>
            </w:r>
            <w:r>
              <w:rPr>
                <w:sz w:val="22"/>
              </w:rPr>
            </w:r>
          </w:p>
        </w:tc>
      </w:tr>
      <w:tr>
        <w:tc>
          <w:tcPr>
            <w:tcW w:type="dxa" w:w="2880"/>
          </w:tcPr>
          <w:p>
            <w:r>
              <w:rPr>
                <w:sz w:val="19"/>
              </w:rPr>
            </w:r>
            <w:r>
              <w:rPr>
                <w:rFonts w:ascii="Courier New" w:hAnsi="Courier New"/>
                <w:sz w:val="20"/>
              </w:rPr>
              <w:t>app/ifsca/finance-company/page.tsx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/ifsca/finance-company-in-gift-ifsc</w:t>
            </w:r>
            <w:r>
              <w:rPr>
                <w:sz w:val="22"/>
              </w:rPr>
            </w:r>
          </w:p>
        </w:tc>
      </w:tr>
      <w:tr>
        <w:tc>
          <w:tcPr>
            <w:tcW w:type="dxa" w:w="2880"/>
          </w:tcPr>
          <w:p>
            <w:r>
              <w:rPr>
                <w:sz w:val="19"/>
              </w:rPr>
            </w:r>
            <w:r>
              <w:rPr>
                <w:rFonts w:ascii="Courier New" w:hAnsi="Courier New"/>
                <w:sz w:val="20"/>
              </w:rPr>
              <w:t>app/ifsca/finance-company-registration-in-ifsc/page.tsx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/ifsca/finance-company-in-gift-ifsc</w:t>
            </w:r>
            <w:r>
              <w:rPr>
                <w:sz w:val="22"/>
              </w:rPr>
            </w:r>
          </w:p>
        </w:tc>
      </w:tr>
      <w:tr>
        <w:tc>
          <w:tcPr>
            <w:tcW w:type="dxa" w:w="2880"/>
          </w:tcPr>
          <w:p>
            <w:r>
              <w:rPr>
                <w:sz w:val="19"/>
              </w:rPr>
            </w:r>
            <w:r>
              <w:rPr>
                <w:rFonts w:ascii="Courier New" w:hAnsi="Courier New"/>
                <w:sz w:val="20"/>
              </w:rPr>
              <w:t>app/ifsca/fintech-entity/page.tsx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/ifsca/ifsca-fintech-startup-incentives</w:t>
            </w:r>
            <w:r>
              <w:rPr>
                <w:sz w:val="22"/>
              </w:rPr>
            </w:r>
          </w:p>
        </w:tc>
      </w:tr>
      <w:tr>
        <w:tc>
          <w:tcPr>
            <w:tcW w:type="dxa" w:w="2880"/>
          </w:tcPr>
          <w:p>
            <w:r>
              <w:rPr>
                <w:sz w:val="19"/>
              </w:rPr>
            </w:r>
            <w:r>
              <w:rPr>
                <w:rFonts w:ascii="Courier New" w:hAnsi="Courier New"/>
                <w:sz w:val="20"/>
              </w:rPr>
              <w:t>app/ifsca/itfs-platform/page.tsx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/ifsca/itfs-registration-in-gift-ifsc</w:t>
            </w:r>
            <w:r>
              <w:rPr>
                <w:sz w:val="22"/>
              </w:rPr>
            </w:r>
          </w:p>
        </w:tc>
      </w:tr>
      <w:tr>
        <w:tc>
          <w:tcPr>
            <w:tcW w:type="dxa" w:w="2880"/>
          </w:tcPr>
          <w:p>
            <w:r>
              <w:rPr>
                <w:sz w:val="19"/>
              </w:rPr>
            </w:r>
            <w:r>
              <w:rPr>
                <w:rFonts w:ascii="Courier New" w:hAnsi="Courier New"/>
                <w:sz w:val="20"/>
              </w:rPr>
              <w:t>app/ifsca/psp-license/page.tsx</w:t>
            </w:r>
            <w:r>
              <w:rPr>
                <w:sz w:val="22"/>
              </w:rPr>
            </w:r>
          </w:p>
        </w:tc>
        <w:tc>
          <w:tcPr>
            <w:tcW w:type="dxa" w:w="2880"/>
          </w:tcPr>
          <w:p>
            <w:r>
              <w:rPr>
                <w:sz w:val="19"/>
              </w:rPr>
            </w:r>
            <w:r>
              <w:rPr>
                <w:b/>
                <w:sz w:val="22"/>
              </w:rPr>
              <w:t>Redirect-only</w:t>
            </w:r>
            <w:r>
              <w:rPr>
                <w:sz w:val="22"/>
              </w:rPr>
            </w:r>
          </w:p>
        </w:tc>
        <w:tc>
          <w:tcPr>
            <w:tcW w:type="dxa" w:w="2880"/>
          </w:tcPr>
          <w:p>
            <w:r>
              <w:rPr>
                <w:sz w:val="19"/>
              </w:rPr>
            </w:r>
            <w:r>
              <w:rPr>
                <w:rFonts w:ascii="Courier New" w:hAnsi="Courier New"/>
                <w:sz w:val="20"/>
              </w:rPr>
              <w:t>/ifsca/psp-license-ifsca</w:t>
            </w:r>
            <w:r>
              <w:rPr>
                <w:sz w:val="22"/>
              </w:rPr>
            </w:r>
          </w:p>
        </w:tc>
      </w:tr>
    </w:tbl>
    <w:p/>
    <w:p/>
    <w:p>
      <w:pPr>
        <w:pStyle w:val="Heading2"/>
      </w:pPr>
      <w:r>
        <w:rPr>
          <w:color w:val="1E40AF"/>
          <w:sz w:val="30"/>
        </w:rPr>
        <w:t>app/regulatory/ Routes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app/regulatory/psp-license-ifsca/page.tsx</w:t>
            </w:r>
            <w:r>
              <w:rPr>
                <w:sz w:val="22"/>
              </w:rPr>
            </w:r>
          </w:p>
        </w:tc>
        <w:tc>
          <w:tcPr>
            <w:tcW w:type="dxa" w:w="2880"/>
          </w:tcPr>
          <w:p>
            <w:r>
              <w:rPr>
                <w:sz w:val="19"/>
              </w:rPr>
            </w:r>
            <w:r>
              <w:rPr>
                <w:b/>
                <w:sz w:val="22"/>
              </w:rPr>
              <w:t>Redirect-only</w:t>
            </w:r>
            <w:r>
              <w:rPr>
                <w:sz w:val="22"/>
              </w:rPr>
            </w:r>
          </w:p>
        </w:tc>
        <w:tc>
          <w:tcPr>
            <w:tcW w:type="dxa" w:w="2880"/>
          </w:tcPr>
          <w:p>
            <w:r>
              <w:rPr>
                <w:sz w:val="19"/>
              </w:rPr>
              <w:t xml:space="preserve">Redirects </w:t>
            </w:r>
            <w:r>
              <w:rPr>
                <w:rFonts w:ascii="Courier New" w:hAnsi="Courier New"/>
                <w:sz w:val="20"/>
              </w:rPr>
              <w:t>/regulatory/psp-license-ifsca</w:t>
            </w:r>
            <w:r>
              <w:rPr>
                <w:sz w:val="22"/>
              </w:rPr>
              <w:t xml:space="preserve"> → </w:t>
            </w:r>
            <w:r>
              <w:rPr>
                <w:rFonts w:ascii="Courier New" w:hAnsi="Courier New"/>
                <w:sz w:val="20"/>
              </w:rPr>
              <w:t>/ifsca/psp-license-ifsca</w:t>
            </w:r>
            <w:r>
              <w:rPr>
                <w:sz w:val="22"/>
              </w:rPr>
            </w:r>
          </w:p>
        </w:tc>
      </w:tr>
      <w:tr>
        <w:tc>
          <w:tcPr>
            <w:tcW w:type="dxa" w:w="2880"/>
          </w:tcPr>
          <w:p>
            <w:r>
              <w:rPr>
                <w:sz w:val="19"/>
              </w:rPr>
            </w:r>
            <w:r>
              <w:rPr>
                <w:rFonts w:ascii="Courier New" w:hAnsi="Courier New"/>
                <w:sz w:val="20"/>
              </w:rPr>
              <w:t>app/regulatory/finance-company-gift-ifsc/</w:t>
            </w:r>
            <w:r>
              <w:rPr>
                <w:sz w:val="22"/>
              </w:rPr>
            </w:r>
          </w:p>
        </w:tc>
        <w:tc>
          <w:tcPr>
            <w:tcW w:type="dxa" w:w="2880"/>
          </w:tcPr>
          <w:p>
            <w:r>
              <w:rPr>
                <w:sz w:val="19"/>
              </w:rPr>
            </w:r>
            <w:r>
              <w:rPr>
                <w:b/>
                <w:sz w:val="22"/>
              </w:rPr>
              <w:t>Active (legacy content)</w:t>
            </w:r>
            <w:r>
              <w:rPr>
                <w:sz w:val="22"/>
              </w:rPr>
            </w:r>
          </w:p>
        </w:tc>
        <w:tc>
          <w:tcPr>
            <w:tcW w:type="dxa" w:w="2880"/>
          </w:tcPr>
          <w:p>
            <w:r>
              <w:rPr>
                <w:sz w:val="19"/>
              </w:rPr>
              <w:t>Live article-style page; content is hardcoded, not CMS-driven. Not merged into the main CMS yet.</w:t>
            </w:r>
          </w:p>
        </w:tc>
      </w:tr>
      <w:tr>
        <w:tc>
          <w:tcPr>
            <w:tcW w:type="dxa" w:w="2880"/>
          </w:tcPr>
          <w:p>
            <w:r>
              <w:rPr>
                <w:sz w:val="19"/>
              </w:rPr>
            </w:r>
            <w:r>
              <w:rPr>
                <w:rFonts w:ascii="Courier New" w:hAnsi="Courier New"/>
                <w:sz w:val="20"/>
              </w:rPr>
              <w:t>app/regulatory/ifsca-factoring-license-gift-city/</w:t>
            </w:r>
            <w:r>
              <w:rPr>
                <w:sz w:val="22"/>
              </w:rPr>
            </w:r>
          </w:p>
        </w:tc>
        <w:tc>
          <w:tcPr>
            <w:tcW w:type="dxa" w:w="2880"/>
          </w:tcPr>
          <w:p>
            <w:r>
              <w:rPr>
                <w:sz w:val="19"/>
              </w:rPr>
            </w:r>
            <w:r>
              <w:rPr>
                <w:b/>
                <w:sz w:val="22"/>
              </w:rPr>
              <w:t>Active (legacy content)</w:t>
            </w:r>
            <w:r>
              <w:rPr>
                <w:sz w:val="22"/>
              </w:rPr>
            </w:r>
          </w:p>
        </w:tc>
        <w:tc>
          <w:tcPr>
            <w:tcW w:type="dxa" w:w="2880"/>
          </w:tcPr>
          <w:p>
            <w:r>
              <w:rPr>
                <w:sz w:val="19"/>
              </w:rPr>
              <w:t>Same as above — live article page, hardcoded content.</w:t>
            </w:r>
          </w:p>
        </w:tc>
      </w:tr>
      <w:tr>
        <w:tc>
          <w:tcPr>
            <w:tcW w:type="dxa" w:w="2880"/>
          </w:tcPr>
          <w:p>
            <w:r>
              <w:rPr>
                <w:sz w:val="19"/>
              </w:rPr>
            </w:r>
            <w:r>
              <w:rPr>
                <w:rFonts w:ascii="Courier New" w:hAnsi="Courier New"/>
                <w:sz w:val="20"/>
              </w:rPr>
              <w:t>app/regulatory/page.tsx</w:t>
            </w:r>
            <w:r>
              <w:rPr>
                <w:sz w:val="22"/>
              </w:rPr>
            </w:r>
          </w:p>
        </w:tc>
        <w:tc>
          <w:tcPr>
            <w:tcW w:type="dxa" w:w="2880"/>
          </w:tcPr>
          <w:p>
            <w:r>
              <w:rPr>
                <w:sz w:val="19"/>
              </w:rPr>
            </w:r>
            <w:r>
              <w:rPr>
                <w:b/>
                <w:sz w:val="22"/>
              </w:rPr>
              <w:t>Active (legacy content)</w:t>
            </w:r>
            <w:r>
              <w:rPr>
                <w:sz w:val="22"/>
              </w:rPr>
            </w:r>
          </w:p>
        </w:tc>
        <w:tc>
          <w:tcPr>
            <w:tcW w:type="dxa" w:w="2880"/>
          </w:tcPr>
          <w:p>
            <w:r>
              <w:rPr>
                <w:sz w:val="19"/>
              </w:rPr>
              <w:t>Regulatory hub page listing these legacy article pages.</w:t>
            </w:r>
          </w:p>
        </w:tc>
      </w:tr>
    </w:tbl>
    <w:p/>
    <w:p/>
    <w:p>
      <w:pPr>
        <w:pStyle w:val="Heading2"/>
      </w:pPr>
      <w:r>
        <w:rPr>
          <w:color w:val="1E40AF"/>
          <w:sz w:val="30"/>
        </w:rPr>
        <w:t>app/resources/ Notable Routes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app/resources/content-rebuild-command/page.tsx</w:t>
            </w:r>
            <w:r>
              <w:rPr>
                <w:sz w:val="22"/>
              </w:rPr>
            </w:r>
          </w:p>
        </w:tc>
        <w:tc>
          <w:tcPr>
            <w:tcW w:type="dxa" w:w="2880"/>
          </w:tcPr>
          <w:p>
            <w:r>
              <w:rPr>
                <w:sz w:val="19"/>
              </w:rPr>
            </w:r>
            <w:r>
              <w:rPr>
                <w:b/>
                <w:sz w:val="22"/>
              </w:rPr>
              <w:t>Active</w:t>
            </w:r>
            <w:r>
              <w:rPr>
                <w:sz w:val="22"/>
              </w:rPr>
            </w:r>
          </w:p>
        </w:tc>
        <w:tc>
          <w:tcPr>
            <w:tcW w:type="dxa" w:w="2880"/>
          </w:tcPr>
          <w:p>
            <w:r>
              <w:rPr>
                <w:sz w:val="19"/>
              </w:rPr>
              <w:t xml:space="preserve">Internal tool for triggering content rebuilds. </w:t>
            </w:r>
            <w:r>
              <w:rPr>
                <w:b/>
                <w:sz w:val="22"/>
              </w:rPr>
              <w:t>Publicly accessible with no auth guard</w:t>
            </w:r>
            <w:r>
              <w:rPr>
                <w:sz w:val="22"/>
              </w:rPr>
              <w:t xml:space="preserve"> — see TD-006.</w:t>
            </w:r>
          </w:p>
        </w:tc>
      </w:tr>
      <w:tr>
        <w:tc>
          <w:tcPr>
            <w:tcW w:type="dxa" w:w="2880"/>
          </w:tcPr>
          <w:p>
            <w:r>
              <w:rPr>
                <w:sz w:val="19"/>
              </w:rPr>
            </w:r>
            <w:r>
              <w:rPr>
                <w:rFonts w:ascii="Courier New" w:hAnsi="Courier New"/>
                <w:sz w:val="20"/>
              </w:rPr>
              <w:t>app/resources/regulatory-update-email-template/page.tsx</w:t>
            </w:r>
            <w:r>
              <w:rPr>
                <w:sz w:val="22"/>
              </w:rPr>
            </w:r>
          </w:p>
        </w:tc>
        <w:tc>
          <w:tcPr>
            <w:tcW w:type="dxa" w:w="2880"/>
          </w:tcPr>
          <w:p>
            <w:r>
              <w:rPr>
                <w:sz w:val="19"/>
              </w:rPr>
            </w:r>
            <w:r>
              <w:rPr>
                <w:b/>
                <w:sz w:val="22"/>
              </w:rPr>
              <w:t>Active</w:t>
            </w:r>
            <w:r>
              <w:rPr>
                <w:sz w:val="22"/>
              </w:rPr>
            </w:r>
          </w:p>
        </w:tc>
        <w:tc>
          <w:tcPr>
            <w:tcW w:type="dxa" w:w="2880"/>
          </w:tcPr>
          <w:p>
            <w:r>
              <w:rPr>
                <w:sz w:val="19"/>
              </w:rPr>
              <w:t>Internal email template reference. Publicly accessible with no auth guard.</w:t>
            </w:r>
          </w:p>
        </w:tc>
      </w:tr>
      <w:tr>
        <w:tc>
          <w:tcPr>
            <w:tcW w:type="dxa" w:w="2880"/>
          </w:tcPr>
          <w:p>
            <w:r>
              <w:rPr>
                <w:sz w:val="19"/>
              </w:rPr>
            </w:r>
            <w:r>
              <w:rPr>
                <w:rFonts w:ascii="Courier New" w:hAnsi="Courier New"/>
                <w:sz w:val="20"/>
              </w:rPr>
              <w:t>app/resources/service-page-content-framework/page.tsx</w:t>
            </w:r>
            <w:r>
              <w:rPr>
                <w:sz w:val="22"/>
              </w:rPr>
            </w:r>
          </w:p>
        </w:tc>
        <w:tc>
          <w:tcPr>
            <w:tcW w:type="dxa" w:w="2880"/>
          </w:tcPr>
          <w:p>
            <w:r>
              <w:rPr>
                <w:sz w:val="19"/>
              </w:rPr>
            </w:r>
            <w:r>
              <w:rPr>
                <w:b/>
                <w:sz w:val="22"/>
              </w:rPr>
              <w:t>Active</w:t>
            </w:r>
            <w:r>
              <w:rPr>
                <w:sz w:val="22"/>
              </w:rPr>
            </w:r>
          </w:p>
        </w:tc>
        <w:tc>
          <w:tcPr>
            <w:tcW w:type="dxa" w:w="2880"/>
          </w:tcPr>
          <w:p>
            <w:r>
              <w:rPr>
                <w:sz w:val="19"/>
              </w:rPr>
              <w:t>Internal content framework reference for writing service pages. Publicly accessible with no auth guard.</w:t>
            </w:r>
          </w:p>
        </w:tc>
      </w:tr>
      <w:tr>
        <w:tc>
          <w:tcPr>
            <w:tcW w:type="dxa" w:w="2880"/>
          </w:tcPr>
          <w:p>
            <w:r>
              <w:rPr>
                <w:sz w:val="19"/>
              </w:rPr>
            </w:r>
            <w:r>
              <w:rPr>
                <w:rFonts w:ascii="Courier New" w:hAnsi="Courier New"/>
                <w:sz w:val="20"/>
              </w:rPr>
              <w:t>app/resources/circular-explainers/page.tsx</w:t>
            </w:r>
            <w:r>
              <w:rPr>
                <w:sz w:val="22"/>
              </w:rPr>
            </w:r>
          </w:p>
        </w:tc>
        <w:tc>
          <w:tcPr>
            <w:tcW w:type="dxa" w:w="2880"/>
          </w:tcPr>
          <w:p>
            <w:r>
              <w:rPr>
                <w:sz w:val="19"/>
              </w:rPr>
            </w:r>
            <w:r>
              <w:rPr>
                <w:b/>
                <w:sz w:val="22"/>
              </w:rPr>
              <w:t>Placeholder</w:t>
            </w:r>
            <w:r>
              <w:rPr>
                <w:sz w:val="22"/>
              </w:rPr>
            </w:r>
          </w:p>
        </w:tc>
        <w:tc>
          <w:tcPr>
            <w:tcW w:type="dxa" w:w="2880"/>
          </w:tcPr>
          <w:p>
            <w:r>
              <w:rPr>
                <w:sz w:val="19"/>
              </w:rPr>
              <w:t>Planned feature — not implemented.</w:t>
            </w:r>
          </w:p>
        </w:tc>
      </w:tr>
      <w:tr>
        <w:tc>
          <w:tcPr>
            <w:tcW w:type="dxa" w:w="2880"/>
          </w:tcPr>
          <w:p>
            <w:r>
              <w:rPr>
                <w:sz w:val="19"/>
              </w:rPr>
            </w:r>
            <w:r>
              <w:rPr>
                <w:rFonts w:ascii="Courier New" w:hAnsi="Courier New"/>
                <w:sz w:val="20"/>
              </w:rPr>
              <w:t>app/resources/compliance-calendar/page.tsx</w:t>
            </w:r>
            <w:r>
              <w:rPr>
                <w:sz w:val="22"/>
              </w:rPr>
            </w:r>
          </w:p>
        </w:tc>
        <w:tc>
          <w:tcPr>
            <w:tcW w:type="dxa" w:w="2880"/>
          </w:tcPr>
          <w:p>
            <w:r>
              <w:rPr>
                <w:sz w:val="19"/>
              </w:rPr>
            </w:r>
            <w:r>
              <w:rPr>
                <w:b/>
                <w:sz w:val="22"/>
              </w:rPr>
              <w:t>Placeholder</w:t>
            </w:r>
            <w:r>
              <w:rPr>
                <w:sz w:val="22"/>
              </w:rPr>
            </w:r>
          </w:p>
        </w:tc>
        <w:tc>
          <w:tcPr>
            <w:tcW w:type="dxa" w:w="2880"/>
          </w:tcPr>
          <w:p>
            <w:r>
              <w:rPr>
                <w:sz w:val="19"/>
              </w:rPr>
              <w:t>Planned feature — not implemented.</w:t>
            </w:r>
          </w:p>
        </w:tc>
      </w:tr>
    </w:tbl>
    <w:p/>
    <w:p/>
    <w:p>
      <w:pPr>
        <w:pStyle w:val="Heading2"/>
      </w:pPr>
      <w:r>
        <w:rPr>
          <w:color w:val="1E40AF"/>
          <w:sz w:val="30"/>
        </w:rPr>
        <w:t>app/api/ Notable Routes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app/api/chat/route.ts</w:t>
            </w:r>
            <w:r>
              <w:rPr>
                <w:sz w:val="22"/>
              </w:rPr>
            </w:r>
          </w:p>
        </w:tc>
        <w:tc>
          <w:tcPr>
            <w:tcW w:type="dxa" w:w="2880"/>
          </w:tcPr>
          <w:p>
            <w:r>
              <w:rPr>
                <w:sz w:val="19"/>
              </w:rPr>
            </w:r>
            <w:r>
              <w:rPr>
                <w:b/>
                <w:sz w:val="22"/>
              </w:rPr>
              <w:t>Dormant</w:t>
            </w:r>
            <w:r>
              <w:rPr>
                <w:sz w:val="22"/>
              </w:rPr>
            </w:r>
          </w:p>
        </w:tc>
        <w:tc>
          <w:tcPr>
            <w:tcW w:type="dxa" w:w="2880"/>
          </w:tcPr>
          <w:p>
            <w:r>
              <w:rPr>
                <w:sz w:val="19"/>
              </w:rPr>
              <w:t xml:space="preserve">AI chat endpoint. </w:t>
            </w:r>
            <w:r>
              <w:rPr>
                <w:b/>
                <w:sz w:val="22"/>
              </w:rPr>
              <w:t>No auth guard.</w:t>
            </w:r>
            <w:r>
              <w:rPr>
                <w:sz w:val="22"/>
              </w:rPr>
              <w:t xml:space="preserve"> Not to be enabled until rate limiting is in place.</w:t>
            </w:r>
          </w:p>
        </w:tc>
      </w:tr>
      <w:tr>
        <w:tc>
          <w:tcPr>
            <w:tcW w:type="dxa" w:w="2880"/>
          </w:tcPr>
          <w:p>
            <w:r>
              <w:rPr>
                <w:sz w:val="19"/>
              </w:rPr>
            </w:r>
            <w:r>
              <w:rPr>
                <w:rFonts w:ascii="Courier New" w:hAnsi="Courier New"/>
                <w:sz w:val="20"/>
              </w:rPr>
              <w:t>app/api/recommend-services/route.ts</w:t>
            </w:r>
            <w:r>
              <w:rPr>
                <w:sz w:val="22"/>
              </w:rPr>
            </w:r>
          </w:p>
        </w:tc>
        <w:tc>
          <w:tcPr>
            <w:tcW w:type="dxa" w:w="2880"/>
          </w:tcPr>
          <w:p>
            <w:r>
              <w:rPr>
                <w:sz w:val="19"/>
              </w:rPr>
            </w:r>
            <w:r>
              <w:rPr>
                <w:b/>
                <w:sz w:val="22"/>
              </w:rPr>
              <w:t>Dormant</w:t>
            </w:r>
            <w:r>
              <w:rPr>
                <w:sz w:val="22"/>
              </w:rPr>
            </w:r>
          </w:p>
        </w:tc>
        <w:tc>
          <w:tcPr>
            <w:tcW w:type="dxa" w:w="2880"/>
          </w:tcPr>
          <w:p>
            <w:r>
              <w:rPr>
                <w:sz w:val="19"/>
              </w:rPr>
              <w:t xml:space="preserve">AI service recommendation endpoint. </w:t>
            </w:r>
            <w:r>
              <w:rPr>
                <w:b/>
                <w:sz w:val="22"/>
              </w:rPr>
              <w:t>No auth guard.</w:t>
            </w:r>
            <w:r>
              <w:rPr>
                <w:sz w:val="22"/>
              </w:rPr>
              <w:t xml:space="preserve"> Same constraint as </w:t>
            </w:r>
            <w:r>
              <w:rPr>
                <w:rFonts w:ascii="Courier New" w:hAnsi="Courier New"/>
                <w:sz w:val="20"/>
              </w:rPr>
              <w:t>/api/chat</w:t>
            </w:r>
            <w:r>
              <w:rPr>
                <w:sz w:val="22"/>
              </w:rPr>
              <w:t>.</w:t>
            </w:r>
          </w:p>
        </w:tc>
      </w:tr>
      <w:tr>
        <w:tc>
          <w:tcPr>
            <w:tcW w:type="dxa" w:w="2880"/>
          </w:tcPr>
          <w:p>
            <w:r>
              <w:rPr>
                <w:sz w:val="19"/>
              </w:rPr>
            </w:r>
            <w:r>
              <w:rPr>
                <w:rFonts w:ascii="Courier New" w:hAnsi="Courier New"/>
                <w:sz w:val="20"/>
              </w:rPr>
              <w:t>app/api/admin/blogs/save/route.ts</w:t>
            </w:r>
            <w:r>
              <w:rPr>
                <w:sz w:val="22"/>
              </w:rPr>
            </w:r>
          </w:p>
        </w:tc>
        <w:tc>
          <w:tcPr>
            <w:tcW w:type="dxa" w:w="2880"/>
          </w:tcPr>
          <w:p>
            <w:r>
              <w:rPr>
                <w:sz w:val="19"/>
              </w:rPr>
            </w:r>
            <w:r>
              <w:rPr>
                <w:b/>
                <w:sz w:val="22"/>
              </w:rPr>
              <w:t>Active ⚠️</w:t>
            </w:r>
            <w:r>
              <w:rPr>
                <w:sz w:val="22"/>
              </w:rPr>
            </w:r>
          </w:p>
        </w:tc>
        <w:tc>
          <w:tcPr>
            <w:tcW w:type="dxa" w:w="2880"/>
          </w:tcPr>
          <w:p>
            <w:r>
              <w:rPr>
                <w:sz w:val="19"/>
              </w:rPr>
              <w:t xml:space="preserve">Uses </w:t>
            </w:r>
            <w:r>
              <w:rPr>
                <w:rFonts w:ascii="Courier New" w:hAnsi="Courier New"/>
                <w:sz w:val="20"/>
              </w:rPr>
              <w:t>requireAdmin</w:t>
            </w:r>
            <w:r>
              <w:rPr>
                <w:sz w:val="22"/>
              </w:rPr>
              <w:t xml:space="preserve"> instead of </w:t>
            </w:r>
            <w:r>
              <w:rPr>
                <w:rFonts w:ascii="Courier New" w:hAnsi="Courier New"/>
                <w:sz w:val="20"/>
              </w:rPr>
              <w:t>requirePermission</w:t>
            </w:r>
            <w:r>
              <w:rPr>
                <w:sz w:val="22"/>
              </w:rPr>
              <w:t xml:space="preserve"> — permission gap TD-016.</w:t>
            </w:r>
          </w:p>
        </w:tc>
      </w:tr>
      <w:tr>
        <w:tc>
          <w:tcPr>
            <w:tcW w:type="dxa" w:w="2880"/>
          </w:tcPr>
          <w:p>
            <w:r>
              <w:rPr>
                <w:sz w:val="19"/>
              </w:rPr>
            </w:r>
            <w:r>
              <w:rPr>
                <w:rFonts w:ascii="Courier New" w:hAnsi="Courier New"/>
                <w:sz w:val="20"/>
              </w:rPr>
              <w:t>app/api/admin/blogs/[id]/route.ts</w:t>
            </w:r>
            <w:r>
              <w:rPr>
                <w:sz w:val="22"/>
              </w:rPr>
            </w:r>
          </w:p>
        </w:tc>
        <w:tc>
          <w:tcPr>
            <w:tcW w:type="dxa" w:w="2880"/>
          </w:tcPr>
          <w:p>
            <w:r>
              <w:rPr>
                <w:sz w:val="19"/>
              </w:rPr>
            </w:r>
            <w:r>
              <w:rPr>
                <w:b/>
                <w:sz w:val="22"/>
              </w:rPr>
              <w:t>Active ⚠️</w:t>
            </w:r>
            <w:r>
              <w:rPr>
                <w:sz w:val="22"/>
              </w:rPr>
            </w:r>
          </w:p>
        </w:tc>
        <w:tc>
          <w:tcPr>
            <w:tcW w:type="dxa" w:w="2880"/>
          </w:tcPr>
          <w:p>
            <w:r>
              <w:rPr>
                <w:sz w:val="19"/>
              </w:rPr>
              <w:t xml:space="preserve">Uses </w:t>
            </w:r>
            <w:r>
              <w:rPr>
                <w:rFonts w:ascii="Courier New" w:hAnsi="Courier New"/>
                <w:sz w:val="20"/>
              </w:rPr>
              <w:t>requireAdmin</w:t>
            </w:r>
            <w:r>
              <w:rPr>
                <w:sz w:val="22"/>
              </w:rPr>
              <w:t xml:space="preserve"> instead of </w:t>
            </w:r>
            <w:r>
              <w:rPr>
                <w:rFonts w:ascii="Courier New" w:hAnsi="Courier New"/>
                <w:sz w:val="20"/>
              </w:rPr>
              <w:t>requirePermission</w:t>
            </w:r>
            <w:r>
              <w:rPr>
                <w:sz w:val="22"/>
              </w:rPr>
              <w:t xml:space="preserve"> — permission gap TD-016.</w:t>
            </w:r>
          </w:p>
        </w:tc>
      </w:tr>
      <w:tr>
        <w:tc>
          <w:tcPr>
            <w:tcW w:type="dxa" w:w="2880"/>
          </w:tcPr>
          <w:p>
            <w:r>
              <w:rPr>
                <w:sz w:val="19"/>
              </w:rPr>
            </w:r>
            <w:r>
              <w:rPr>
                <w:rFonts w:ascii="Courier New" w:hAnsi="Courier New"/>
                <w:sz w:val="20"/>
              </w:rPr>
              <w:t>app/api/admin/blogs/[id]/status/route.ts</w:t>
            </w:r>
            <w:r>
              <w:rPr>
                <w:sz w:val="22"/>
              </w:rPr>
            </w:r>
          </w:p>
        </w:tc>
        <w:tc>
          <w:tcPr>
            <w:tcW w:type="dxa" w:w="2880"/>
          </w:tcPr>
          <w:p>
            <w:r>
              <w:rPr>
                <w:sz w:val="19"/>
              </w:rPr>
            </w:r>
            <w:r>
              <w:rPr>
                <w:b/>
                <w:sz w:val="22"/>
              </w:rPr>
              <w:t>Active ⚠️</w:t>
            </w:r>
            <w:r>
              <w:rPr>
                <w:sz w:val="22"/>
              </w:rPr>
            </w:r>
          </w:p>
        </w:tc>
        <w:tc>
          <w:tcPr>
            <w:tcW w:type="dxa" w:w="2880"/>
          </w:tcPr>
          <w:p>
            <w:r>
              <w:rPr>
                <w:sz w:val="19"/>
              </w:rPr>
              <w:t xml:space="preserve">Uses </w:t>
            </w:r>
            <w:r>
              <w:rPr>
                <w:rFonts w:ascii="Courier New" w:hAnsi="Courier New"/>
                <w:sz w:val="20"/>
              </w:rPr>
              <w:t>requireAdmin</w:t>
            </w:r>
            <w:r>
              <w:rPr>
                <w:sz w:val="22"/>
              </w:rPr>
              <w:t xml:space="preserve"> instead of </w:t>
            </w:r>
            <w:r>
              <w:rPr>
                <w:rFonts w:ascii="Courier New" w:hAnsi="Courier New"/>
                <w:sz w:val="20"/>
              </w:rPr>
              <w:t>requirePermission</w:t>
            </w:r>
            <w:r>
              <w:rPr>
                <w:sz w:val="22"/>
              </w:rPr>
              <w:t xml:space="preserve"> — permission gap TD-016.</w:t>
            </w:r>
          </w:p>
        </w:tc>
      </w:tr>
      <w:tr>
        <w:tc>
          <w:tcPr>
            <w:tcW w:type="dxa" w:w="2880"/>
          </w:tcPr>
          <w:p>
            <w:r>
              <w:rPr>
                <w:sz w:val="19"/>
              </w:rPr>
            </w:r>
            <w:r>
              <w:rPr>
                <w:rFonts w:ascii="Courier New" w:hAnsi="Courier New"/>
                <w:sz w:val="20"/>
              </w:rPr>
              <w:t>app/api/admin/leads/[id]/route.ts</w:t>
            </w:r>
            <w:r>
              <w:rPr>
                <w:sz w:val="22"/>
              </w:rPr>
            </w:r>
          </w:p>
        </w:tc>
        <w:tc>
          <w:tcPr>
            <w:tcW w:type="dxa" w:w="2880"/>
          </w:tcPr>
          <w:p>
            <w:r>
              <w:rPr>
                <w:sz w:val="19"/>
              </w:rPr>
            </w:r>
            <w:r>
              <w:rPr>
                <w:b/>
                <w:sz w:val="22"/>
              </w:rPr>
              <w:t>Active ⚠️</w:t>
            </w:r>
            <w:r>
              <w:rPr>
                <w:sz w:val="22"/>
              </w:rPr>
            </w:r>
          </w:p>
        </w:tc>
        <w:tc>
          <w:tcPr>
            <w:tcW w:type="dxa" w:w="2880"/>
          </w:tcPr>
          <w:p>
            <w:r>
              <w:rPr>
                <w:sz w:val="19"/>
              </w:rPr>
              <w:t xml:space="preserve">Uses </w:t>
            </w:r>
            <w:r>
              <w:rPr>
                <w:rFonts w:ascii="Courier New" w:hAnsi="Courier New"/>
                <w:sz w:val="20"/>
              </w:rPr>
              <w:t>requireAdmin</w:t>
            </w:r>
            <w:r>
              <w:rPr>
                <w:sz w:val="22"/>
              </w:rPr>
              <w:t xml:space="preserve"> instead of </w:t>
            </w:r>
            <w:r>
              <w:rPr>
                <w:rFonts w:ascii="Courier New" w:hAnsi="Courier New"/>
                <w:sz w:val="20"/>
              </w:rPr>
              <w:t>requirePermission</w:t>
            </w:r>
            <w:r>
              <w:rPr>
                <w:sz w:val="22"/>
              </w:rPr>
              <w:t xml:space="preserve"> — permission gap TD-016.</w:t>
            </w:r>
          </w:p>
        </w:tc>
      </w:tr>
      <w:tr>
        <w:tc>
          <w:tcPr>
            <w:tcW w:type="dxa" w:w="2880"/>
          </w:tcPr>
          <w:p>
            <w:r>
              <w:rPr>
                <w:sz w:val="19"/>
              </w:rPr>
            </w:r>
            <w:r>
              <w:rPr>
                <w:rFonts w:ascii="Courier New" w:hAnsi="Courier New"/>
                <w:sz w:val="20"/>
              </w:rPr>
              <w:t>app/api/auth/login/route.ts</w:t>
            </w:r>
            <w:r>
              <w:rPr>
                <w:sz w:val="22"/>
              </w:rPr>
            </w:r>
          </w:p>
        </w:tc>
        <w:tc>
          <w:tcPr>
            <w:tcW w:type="dxa" w:w="2880"/>
          </w:tcPr>
          <w:p>
            <w:r>
              <w:rPr>
                <w:sz w:val="19"/>
              </w:rPr>
            </w:r>
            <w:r>
              <w:rPr>
                <w:b/>
                <w:sz w:val="22"/>
              </w:rPr>
              <w:t>Active ⚠️</w:t>
            </w:r>
            <w:r>
              <w:rPr>
                <w:sz w:val="22"/>
              </w:rPr>
            </w:r>
          </w:p>
        </w:tc>
        <w:tc>
          <w:tcPr>
            <w:tcW w:type="dxa" w:w="2880"/>
          </w:tcPr>
          <w:p>
            <w:r>
              <w:rPr>
                <w:sz w:val="19"/>
              </w:rPr>
              <w:t>No rate limiting — highest-priority security gap (TD-001).</w:t>
            </w:r>
          </w:p>
        </w:tc>
      </w:tr>
    </w:tbl>
    <w:p/>
    <w:p/>
    <w:p>
      <w:pPr>
        <w:pStyle w:val="Heading2"/>
      </w:pPr>
      <w:r>
        <w:rPr>
          <w:color w:val="1E40AF"/>
          <w:sz w:val="30"/>
        </w:rPr>
        <w:t>public/ Generated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public/tailwind.css</w:t>
            </w:r>
            <w:r>
              <w:rPr>
                <w:sz w:val="22"/>
              </w:rPr>
            </w:r>
          </w:p>
        </w:tc>
        <w:tc>
          <w:tcPr>
            <w:tcW w:type="dxa" w:w="2880"/>
          </w:tcPr>
          <w:p>
            <w:r>
              <w:rPr>
                <w:sz w:val="19"/>
              </w:rPr>
            </w:r>
            <w:r>
              <w:rPr>
                <w:b/>
                <w:sz w:val="22"/>
              </w:rPr>
              <w:t>Generated</w:t>
            </w:r>
            <w:r>
              <w:rPr>
                <w:sz w:val="22"/>
              </w:rPr>
            </w:r>
          </w:p>
        </w:tc>
        <w:tc>
          <w:tcPr>
            <w:tcW w:type="dxa" w:w="2880"/>
          </w:tcPr>
          <w:p>
            <w:r>
              <w:rPr>
                <w:sz w:val="19"/>
              </w:rPr>
              <w:t xml:space="preserve">Output of </w:t>
            </w:r>
            <w:r>
              <w:rPr>
                <w:rFonts w:ascii="Courier New" w:hAnsi="Courier New"/>
                <w:sz w:val="20"/>
              </w:rPr>
              <w:t>npx tailwindcss ... -o public/tailwind.css</w:t>
            </w:r>
            <w:r>
              <w:rPr>
                <w:sz w:val="22"/>
              </w:rPr>
              <w:t xml:space="preserve">. Do not edit manually. Currently committed to git (acceptable — serves as the CSS file loaded by </w:t>
            </w:r>
            <w:r>
              <w:rPr>
                <w:rFonts w:ascii="Courier New" w:hAnsi="Courier New"/>
                <w:sz w:val="20"/>
              </w:rPr>
              <w:t>app/layout.tsx</w:t>
            </w:r>
            <w:r>
              <w:rPr>
                <w:sz w:val="22"/>
              </w:rPr>
              <w:t xml:space="preserve"> link tag).</w:t>
            </w:r>
          </w:p>
        </w:tc>
      </w:tr>
    </w:tbl>
    <w:p/>
    <w:p/>
    <w:p>
      <w:pPr>
        <w:pStyle w:val="Heading2"/>
      </w:pPr>
      <w:r>
        <w:rPr>
          <w:color w:val="1E40AF"/>
          <w:sz w:val="30"/>
        </w:rPr>
        <w:t>components/ Notable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components/FAQAccordion.tsx</w:t>
            </w:r>
            <w:r>
              <w:rPr>
                <w:sz w:val="22"/>
              </w:rPr>
            </w:r>
          </w:p>
        </w:tc>
        <w:tc>
          <w:tcPr>
            <w:tcW w:type="dxa" w:w="2880"/>
          </w:tcPr>
          <w:p>
            <w:r>
              <w:rPr>
                <w:sz w:val="19"/>
              </w:rPr>
            </w:r>
            <w:r>
              <w:rPr>
                <w:b/>
                <w:sz w:val="22"/>
              </w:rPr>
              <w:t>Active</w:t>
            </w:r>
            <w:r>
              <w:rPr>
                <w:sz w:val="22"/>
              </w:rPr>
            </w:r>
          </w:p>
        </w:tc>
        <w:tc>
          <w:tcPr>
            <w:tcW w:type="dxa" w:w="2880"/>
          </w:tcPr>
          <w:p>
            <w:r>
              <w:rPr>
                <w:sz w:val="19"/>
              </w:rPr>
              <w:t xml:space="preserve">Single file in the root of </w:t>
            </w:r>
            <w:r>
              <w:rPr>
                <w:rFonts w:ascii="Courier New" w:hAnsi="Courier New"/>
                <w:sz w:val="20"/>
              </w:rPr>
              <w:t>components/</w:t>
            </w:r>
            <w:r>
              <w:rPr>
                <w:sz w:val="22"/>
              </w:rPr>
              <w:t>; all other components are in subdirectories.</w:t>
            </w:r>
          </w:p>
        </w:tc>
      </w:tr>
      <w:tr>
        <w:tc>
          <w:tcPr>
            <w:tcW w:type="dxa" w:w="2880"/>
          </w:tcPr>
          <w:p>
            <w:r>
              <w:rPr>
                <w:sz w:val="19"/>
              </w:rPr>
            </w:r>
            <w:r>
              <w:rPr>
                <w:rFonts w:ascii="Courier New" w:hAnsi="Courier New"/>
                <w:sz w:val="20"/>
              </w:rPr>
              <w:t>components/home/RegulatorySevices.tsx</w:t>
            </w:r>
            <w:r>
              <w:rPr>
                <w:sz w:val="22"/>
              </w:rPr>
            </w:r>
          </w:p>
        </w:tc>
        <w:tc>
          <w:tcPr>
            <w:tcW w:type="dxa" w:w="2880"/>
          </w:tcPr>
          <w:p>
            <w:r>
              <w:rPr>
                <w:sz w:val="19"/>
              </w:rPr>
            </w:r>
            <w:r>
              <w:rPr>
                <w:b/>
                <w:sz w:val="22"/>
              </w:rPr>
              <w:t>Active</w:t>
            </w:r>
            <w:r>
              <w:rPr>
                <w:sz w:val="22"/>
              </w:rPr>
            </w:r>
          </w:p>
        </w:tc>
        <w:tc>
          <w:tcPr>
            <w:tcW w:type="dxa" w:w="2880"/>
          </w:tcPr>
          <w:p>
            <w:r>
              <w:rPr>
                <w:sz w:val="19"/>
              </w:rPr>
              <w:t>Typo in filename — "Sevices" should be "Services". The file is active and imported; renaming would require updating all imports.</w:t>
            </w:r>
          </w:p>
        </w:tc>
      </w:tr>
    </w:tbl>
    <w:p/>
    <w:p/>
    <w:p>
      <w:pPr>
        <w:pStyle w:val="Heading2"/>
      </w:pPr>
      <w:r>
        <w:rPr>
          <w:color w:val="1E40AF"/>
          <w:sz w:val="30"/>
        </w:rPr>
        <w:t>Documentation Files (19 .md + 1 .docx at root)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Class</w:t>
            </w:r>
          </w:p>
        </w:tc>
        <w:tc>
          <w:tcPr>
            <w:tcW w:type="dxa" w:w="2880"/>
          </w:tcPr>
          <w:p>
            <w:r>
              <w:rPr>
                <w:b/>
                <w:sz w:val="19"/>
              </w:rPr>
              <w:t>Notes</w:t>
            </w:r>
          </w:p>
        </w:tc>
      </w:tr>
      <w:tr>
        <w:tc>
          <w:tcPr>
            <w:tcW w:type="dxa" w:w="2880"/>
          </w:tcPr>
          <w:p>
            <w:r>
              <w:rPr>
                <w:sz w:val="19"/>
              </w:rPr>
            </w:r>
            <w:r>
              <w:rPr>
                <w:rFonts w:ascii="Courier New" w:hAnsi="Courier New"/>
                <w:sz w:val="20"/>
              </w:rPr>
              <w:t>CMS_STATUS.md</w:t>
            </w:r>
            <w:r>
              <w:rPr>
                <w:sz w:val="22"/>
              </w:rPr>
            </w:r>
          </w:p>
        </w:tc>
        <w:tc>
          <w:tcPr>
            <w:tcW w:type="dxa" w:w="2880"/>
          </w:tcPr>
          <w:p>
            <w:r>
              <w:rPr>
                <w:sz w:val="19"/>
              </w:rPr>
            </w:r>
            <w:r>
              <w:rPr>
                <w:b/>
                <w:sz w:val="22"/>
              </w:rPr>
              <w:t>Doc</w:t>
            </w:r>
            <w:r>
              <w:rPr>
                <w:sz w:val="22"/>
              </w:rPr>
            </w:r>
          </w:p>
        </w:tc>
        <w:tc>
          <w:tcPr>
            <w:tcW w:type="dxa" w:w="2880"/>
          </w:tcPr>
          <w:p>
            <w:r>
              <w:rPr>
                <w:sz w:val="19"/>
              </w:rPr>
              <w:t>Owner source of truth — living log of all completed work.</w:t>
            </w:r>
          </w:p>
        </w:tc>
      </w:tr>
      <w:tr>
        <w:tc>
          <w:tcPr>
            <w:tcW w:type="dxa" w:w="2880"/>
          </w:tcPr>
          <w:p>
            <w:r>
              <w:rPr>
                <w:sz w:val="19"/>
              </w:rPr>
            </w:r>
            <w:r>
              <w:rPr>
                <w:rFonts w:ascii="Courier New" w:hAnsi="Courier New"/>
                <w:sz w:val="20"/>
              </w:rPr>
              <w:t>AGENTS.md</w:t>
            </w:r>
            <w:r>
              <w:rPr>
                <w:sz w:val="22"/>
              </w:rPr>
            </w:r>
          </w:p>
        </w:tc>
        <w:tc>
          <w:tcPr>
            <w:tcW w:type="dxa" w:w="2880"/>
          </w:tcPr>
          <w:p>
            <w:r>
              <w:rPr>
                <w:sz w:val="19"/>
              </w:rPr>
            </w:r>
            <w:r>
              <w:rPr>
                <w:b/>
                <w:sz w:val="22"/>
              </w:rPr>
              <w:t>Doc</w:t>
            </w:r>
            <w:r>
              <w:rPr>
                <w:sz w:val="22"/>
              </w:rPr>
            </w:r>
          </w:p>
        </w:tc>
        <w:tc>
          <w:tcPr>
            <w:tcW w:type="dxa" w:w="2880"/>
          </w:tcPr>
          <w:p>
            <w:r>
              <w:rPr>
                <w:sz w:val="19"/>
              </w:rPr>
              <w:t xml:space="preserve">Agent rules from an earlier phase; partially superseded by </w:t>
            </w:r>
            <w:r>
              <w:rPr>
                <w:rFonts w:ascii="Courier New" w:hAnsi="Courier New"/>
                <w:sz w:val="20"/>
              </w:rPr>
              <w:t>ESTABIZZ_AGENT_OPERATING_GUIDE.md</w:t>
            </w:r>
            <w:r>
              <w:rPr>
                <w:sz w:val="22"/>
              </w:rPr>
              <w:t>.</w:t>
            </w:r>
          </w:p>
        </w:tc>
      </w:tr>
      <w:tr>
        <w:tc>
          <w:tcPr>
            <w:tcW w:type="dxa" w:w="2880"/>
          </w:tcPr>
          <w:p>
            <w:r>
              <w:rPr>
                <w:sz w:val="19"/>
              </w:rPr>
            </w:r>
            <w:r>
              <w:rPr>
                <w:rFonts w:ascii="Courier New" w:hAnsi="Courier New"/>
                <w:sz w:val="20"/>
              </w:rPr>
              <w:t>ESTABIZZ_PROJECT_MASTER_CONTEXT.md</w:t>
            </w:r>
            <w:r>
              <w:rPr>
                <w:sz w:val="22"/>
              </w:rPr>
            </w:r>
          </w:p>
        </w:tc>
        <w:tc>
          <w:tcPr>
            <w:tcW w:type="dxa" w:w="2880"/>
          </w:tcPr>
          <w:p>
            <w:r>
              <w:rPr>
                <w:sz w:val="19"/>
              </w:rPr>
            </w:r>
            <w:r>
              <w:rPr>
                <w:b/>
                <w:sz w:val="22"/>
              </w:rPr>
              <w:t>Doc</w:t>
            </w:r>
            <w:r>
              <w:rPr>
                <w:sz w:val="22"/>
              </w:rPr>
            </w:r>
          </w:p>
        </w:tc>
        <w:tc>
          <w:tcPr>
            <w:tcW w:type="dxa" w:w="2880"/>
          </w:tcPr>
          <w:p>
            <w:r>
              <w:rPr>
                <w:sz w:val="19"/>
              </w:rPr>
              <w:t>Master context entry point for new agents. Canonical.</w:t>
            </w:r>
          </w:p>
        </w:tc>
      </w:tr>
      <w:tr>
        <w:tc>
          <w:tcPr>
            <w:tcW w:type="dxa" w:w="2880"/>
          </w:tcPr>
          <w:p>
            <w:r>
              <w:rPr>
                <w:sz w:val="19"/>
              </w:rPr>
            </w:r>
            <w:r>
              <w:rPr>
                <w:rFonts w:ascii="Courier New" w:hAnsi="Courier New"/>
                <w:sz w:val="20"/>
              </w:rPr>
              <w:t>ESTABIZZ_AGENT_OPERATING_GUIDE.md</w:t>
            </w:r>
            <w:r>
              <w:rPr>
                <w:sz w:val="22"/>
              </w:rPr>
            </w:r>
          </w:p>
        </w:tc>
        <w:tc>
          <w:tcPr>
            <w:tcW w:type="dxa" w:w="2880"/>
          </w:tcPr>
          <w:p>
            <w:r>
              <w:rPr>
                <w:sz w:val="19"/>
              </w:rPr>
            </w:r>
            <w:r>
              <w:rPr>
                <w:b/>
                <w:sz w:val="22"/>
              </w:rPr>
              <w:t>Doc</w:t>
            </w:r>
            <w:r>
              <w:rPr>
                <w:sz w:val="22"/>
              </w:rPr>
            </w:r>
          </w:p>
        </w:tc>
        <w:tc>
          <w:tcPr>
            <w:tcW w:type="dxa" w:w="2880"/>
          </w:tcPr>
          <w:p>
            <w:r>
              <w:rPr>
                <w:sz w:val="19"/>
              </w:rPr>
              <w:t>Comprehensive agent operating rules. Canonical.</w:t>
            </w:r>
          </w:p>
        </w:tc>
      </w:tr>
      <w:tr>
        <w:tc>
          <w:tcPr>
            <w:tcW w:type="dxa" w:w="2880"/>
          </w:tcPr>
          <w:p>
            <w:r>
              <w:rPr>
                <w:sz w:val="19"/>
              </w:rPr>
            </w:r>
            <w:r>
              <w:rPr>
                <w:rFonts w:ascii="Courier New" w:hAnsi="Courier New"/>
                <w:sz w:val="20"/>
              </w:rPr>
              <w:t>ESTABIZZ_TECHNICAL_ARCHITECTURE.md</w:t>
            </w:r>
            <w:r>
              <w:rPr>
                <w:sz w:val="22"/>
              </w:rPr>
            </w:r>
          </w:p>
        </w:tc>
        <w:tc>
          <w:tcPr>
            <w:tcW w:type="dxa" w:w="2880"/>
          </w:tcPr>
          <w:p>
            <w:r>
              <w:rPr>
                <w:sz w:val="19"/>
              </w:rPr>
            </w:r>
            <w:r>
              <w:rPr>
                <w:b/>
                <w:sz w:val="22"/>
              </w:rPr>
              <w:t>Doc</w:t>
            </w:r>
            <w:r>
              <w:rPr>
                <w:sz w:val="22"/>
              </w:rPr>
            </w:r>
          </w:p>
        </w:tc>
        <w:tc>
          <w:tcPr>
            <w:tcW w:type="dxa" w:w="2880"/>
          </w:tcPr>
          <w:p>
            <w:r>
              <w:rPr>
                <w:sz w:val="19"/>
              </w:rPr>
              <w:t>Full stack and architecture documentation. Canonical.</w:t>
            </w:r>
          </w:p>
        </w:tc>
      </w:tr>
      <w:tr>
        <w:tc>
          <w:tcPr>
            <w:tcW w:type="dxa" w:w="2880"/>
          </w:tcPr>
          <w:p>
            <w:r>
              <w:rPr>
                <w:sz w:val="19"/>
              </w:rPr>
            </w:r>
            <w:r>
              <w:rPr>
                <w:rFonts w:ascii="Courier New" w:hAnsi="Courier New"/>
                <w:sz w:val="20"/>
              </w:rPr>
              <w:t>ESTABIZZ_MODULE_INVENTORY.md</w:t>
            </w:r>
            <w:r>
              <w:rPr>
                <w:sz w:val="22"/>
              </w:rPr>
            </w:r>
          </w:p>
        </w:tc>
        <w:tc>
          <w:tcPr>
            <w:tcW w:type="dxa" w:w="2880"/>
          </w:tcPr>
          <w:p>
            <w:r>
              <w:rPr>
                <w:sz w:val="19"/>
              </w:rPr>
            </w:r>
            <w:r>
              <w:rPr>
                <w:b/>
                <w:sz w:val="22"/>
              </w:rPr>
              <w:t>Doc</w:t>
            </w:r>
            <w:r>
              <w:rPr>
                <w:sz w:val="22"/>
              </w:rPr>
            </w:r>
          </w:p>
        </w:tc>
        <w:tc>
          <w:tcPr>
            <w:tcW w:type="dxa" w:w="2880"/>
          </w:tcPr>
          <w:p>
            <w:r>
              <w:rPr>
                <w:sz w:val="19"/>
              </w:rPr>
              <w:t>All modules, routes, components inventory. Canonical.</w:t>
            </w:r>
          </w:p>
        </w:tc>
      </w:tr>
      <w:tr>
        <w:tc>
          <w:tcPr>
            <w:tcW w:type="dxa" w:w="2880"/>
          </w:tcPr>
          <w:p>
            <w:r>
              <w:rPr>
                <w:sz w:val="19"/>
              </w:rPr>
            </w:r>
            <w:r>
              <w:rPr>
                <w:rFonts w:ascii="Courier New" w:hAnsi="Courier New"/>
                <w:sz w:val="20"/>
              </w:rPr>
              <w:t>ESTABIZZ_API_DATABASE_MAP.md</w:t>
            </w:r>
            <w:r>
              <w:rPr>
                <w:sz w:val="22"/>
              </w:rPr>
            </w:r>
          </w:p>
        </w:tc>
        <w:tc>
          <w:tcPr>
            <w:tcW w:type="dxa" w:w="2880"/>
          </w:tcPr>
          <w:p>
            <w:r>
              <w:rPr>
                <w:sz w:val="19"/>
              </w:rPr>
            </w:r>
            <w:r>
              <w:rPr>
                <w:b/>
                <w:sz w:val="22"/>
              </w:rPr>
              <w:t>Doc</w:t>
            </w:r>
            <w:r>
              <w:rPr>
                <w:sz w:val="22"/>
              </w:rPr>
            </w:r>
          </w:p>
        </w:tc>
        <w:tc>
          <w:tcPr>
            <w:tcW w:type="dxa" w:w="2880"/>
          </w:tcPr>
          <w:p>
            <w:r>
              <w:rPr>
                <w:sz w:val="19"/>
              </w:rPr>
              <w:t>Full API route and database model catalogue. Canonical.</w:t>
            </w:r>
          </w:p>
        </w:tc>
      </w:tr>
      <w:tr>
        <w:tc>
          <w:tcPr>
            <w:tcW w:type="dxa" w:w="2880"/>
          </w:tcPr>
          <w:p>
            <w:r>
              <w:rPr>
                <w:sz w:val="19"/>
              </w:rPr>
            </w:r>
            <w:r>
              <w:rPr>
                <w:rFonts w:ascii="Courier New" w:hAnsi="Courier New"/>
                <w:sz w:val="20"/>
              </w:rPr>
              <w:t>ESTABIZZ_SECURITY_PERMISSION_MAP.md</w:t>
            </w:r>
            <w:r>
              <w:rPr>
                <w:sz w:val="22"/>
              </w:rPr>
            </w:r>
          </w:p>
        </w:tc>
        <w:tc>
          <w:tcPr>
            <w:tcW w:type="dxa" w:w="2880"/>
          </w:tcPr>
          <w:p>
            <w:r>
              <w:rPr>
                <w:sz w:val="19"/>
              </w:rPr>
            </w:r>
            <w:r>
              <w:rPr>
                <w:b/>
                <w:sz w:val="22"/>
              </w:rPr>
              <w:t>Doc</w:t>
            </w:r>
            <w:r>
              <w:rPr>
                <w:sz w:val="22"/>
              </w:rPr>
            </w:r>
          </w:p>
        </w:tc>
        <w:tc>
          <w:tcPr>
            <w:tcW w:type="dxa" w:w="2880"/>
          </w:tcPr>
          <w:p>
            <w:r>
              <w:rPr>
                <w:sz w:val="19"/>
              </w:rPr>
              <w:t>Auth flow, roles, permissions matrix. Canonical.</w:t>
            </w:r>
          </w:p>
        </w:tc>
      </w:tr>
      <w:tr>
        <w:tc>
          <w:tcPr>
            <w:tcW w:type="dxa" w:w="2880"/>
          </w:tcPr>
          <w:p>
            <w:r>
              <w:rPr>
                <w:sz w:val="19"/>
              </w:rPr>
            </w:r>
            <w:r>
              <w:rPr>
                <w:rFonts w:ascii="Courier New" w:hAnsi="Courier New"/>
                <w:sz w:val="20"/>
              </w:rPr>
              <w:t>ESTABIZZ_CURRENT_COMPLETION_STATUS.md</w:t>
            </w:r>
            <w:r>
              <w:rPr>
                <w:sz w:val="22"/>
              </w:rPr>
            </w:r>
          </w:p>
        </w:tc>
        <w:tc>
          <w:tcPr>
            <w:tcW w:type="dxa" w:w="2880"/>
          </w:tcPr>
          <w:p>
            <w:r>
              <w:rPr>
                <w:sz w:val="19"/>
              </w:rPr>
            </w:r>
            <w:r>
              <w:rPr>
                <w:b/>
                <w:sz w:val="22"/>
              </w:rPr>
              <w:t>Doc</w:t>
            </w:r>
            <w:r>
              <w:rPr>
                <w:sz w:val="22"/>
              </w:rPr>
            </w:r>
          </w:p>
        </w:tc>
        <w:tc>
          <w:tcPr>
            <w:tcW w:type="dxa" w:w="2880"/>
          </w:tcPr>
          <w:p>
            <w:r>
              <w:rPr>
                <w:sz w:val="19"/>
              </w:rPr>
              <w:t>Current build completion status. Canonical.</w:t>
            </w:r>
          </w:p>
        </w:tc>
      </w:tr>
      <w:tr>
        <w:tc>
          <w:tcPr>
            <w:tcW w:type="dxa" w:w="2880"/>
          </w:tcPr>
          <w:p>
            <w:r>
              <w:rPr>
                <w:sz w:val="19"/>
              </w:rPr>
            </w:r>
            <w:r>
              <w:rPr>
                <w:rFonts w:ascii="Courier New" w:hAnsi="Courier New"/>
                <w:sz w:val="20"/>
              </w:rPr>
              <w:t>ESTABIZZ_TECHNICAL_DEBT_REGISTER.md</w:t>
            </w:r>
            <w:r>
              <w:rPr>
                <w:sz w:val="22"/>
              </w:rPr>
            </w:r>
          </w:p>
        </w:tc>
        <w:tc>
          <w:tcPr>
            <w:tcW w:type="dxa" w:w="2880"/>
          </w:tcPr>
          <w:p>
            <w:r>
              <w:rPr>
                <w:sz w:val="19"/>
              </w:rPr>
            </w:r>
            <w:r>
              <w:rPr>
                <w:b/>
                <w:sz w:val="22"/>
              </w:rPr>
              <w:t>Doc</w:t>
            </w:r>
            <w:r>
              <w:rPr>
                <w:sz w:val="22"/>
              </w:rPr>
            </w:r>
          </w:p>
        </w:tc>
        <w:tc>
          <w:tcPr>
            <w:tcW w:type="dxa" w:w="2880"/>
          </w:tcPr>
          <w:p>
            <w:r>
              <w:rPr>
                <w:sz w:val="19"/>
              </w:rPr>
              <w:t>Known issues register. Canonical.</w:t>
            </w:r>
          </w:p>
        </w:tc>
      </w:tr>
      <w:tr>
        <w:tc>
          <w:tcPr>
            <w:tcW w:type="dxa" w:w="2880"/>
          </w:tcPr>
          <w:p>
            <w:r>
              <w:rPr>
                <w:sz w:val="19"/>
              </w:rPr>
            </w:r>
            <w:r>
              <w:rPr>
                <w:rFonts w:ascii="Courier New" w:hAnsi="Courier New"/>
                <w:sz w:val="20"/>
              </w:rPr>
              <w:t>ESTABIZZ_FUTURE_PRODUCT_ROADMAP.md</w:t>
            </w:r>
            <w:r>
              <w:rPr>
                <w:sz w:val="22"/>
              </w:rPr>
            </w:r>
          </w:p>
        </w:tc>
        <w:tc>
          <w:tcPr>
            <w:tcW w:type="dxa" w:w="2880"/>
          </w:tcPr>
          <w:p>
            <w:r>
              <w:rPr>
                <w:sz w:val="19"/>
              </w:rPr>
            </w:r>
            <w:r>
              <w:rPr>
                <w:b/>
                <w:sz w:val="22"/>
              </w:rPr>
              <w:t>Doc</w:t>
            </w:r>
            <w:r>
              <w:rPr>
                <w:sz w:val="22"/>
              </w:rPr>
            </w:r>
          </w:p>
        </w:tc>
        <w:tc>
          <w:tcPr>
            <w:tcW w:type="dxa" w:w="2880"/>
          </w:tcPr>
          <w:p>
            <w:r>
              <w:rPr>
                <w:sz w:val="19"/>
              </w:rPr>
              <w:t>Future product vision. Canonical.</w:t>
            </w:r>
          </w:p>
        </w:tc>
      </w:tr>
      <w:tr>
        <w:tc>
          <w:tcPr>
            <w:tcW w:type="dxa" w:w="2880"/>
          </w:tcPr>
          <w:p>
            <w:r>
              <w:rPr>
                <w:sz w:val="19"/>
              </w:rPr>
            </w:r>
            <w:r>
              <w:rPr>
                <w:rFonts w:ascii="Courier New" w:hAnsi="Courier New"/>
                <w:sz w:val="20"/>
              </w:rPr>
              <w:t>ESTABIZZ_NEXT_20_TASKS.md</w:t>
            </w:r>
            <w:r>
              <w:rPr>
                <w:sz w:val="22"/>
              </w:rPr>
            </w:r>
          </w:p>
        </w:tc>
        <w:tc>
          <w:tcPr>
            <w:tcW w:type="dxa" w:w="2880"/>
          </w:tcPr>
          <w:p>
            <w:r>
              <w:rPr>
                <w:sz w:val="19"/>
              </w:rPr>
            </w:r>
            <w:r>
              <w:rPr>
                <w:b/>
                <w:sz w:val="22"/>
              </w:rPr>
              <w:t>Doc</w:t>
            </w:r>
            <w:r>
              <w:rPr>
                <w:sz w:val="22"/>
              </w:rPr>
            </w:r>
          </w:p>
        </w:tc>
        <w:tc>
          <w:tcPr>
            <w:tcW w:type="dxa" w:w="2880"/>
          </w:tcPr>
          <w:p>
            <w:r>
              <w:rPr>
                <w:sz w:val="19"/>
              </w:rPr>
              <w:t>Ordered task list. Canonical.</w:t>
            </w:r>
          </w:p>
        </w:tc>
      </w:tr>
      <w:tr>
        <w:tc>
          <w:tcPr>
            <w:tcW w:type="dxa" w:w="2880"/>
          </w:tcPr>
          <w:p>
            <w:r>
              <w:rPr>
                <w:sz w:val="19"/>
              </w:rPr>
            </w:r>
            <w:r>
              <w:rPr>
                <w:rFonts w:ascii="Courier New" w:hAnsi="Courier New"/>
                <w:sz w:val="20"/>
              </w:rPr>
              <w:t>ADMIN_OS_DISASTER_RECOVERY.md</w:t>
            </w:r>
            <w:r>
              <w:rPr>
                <w:sz w:val="22"/>
              </w:rPr>
            </w:r>
          </w:p>
        </w:tc>
        <w:tc>
          <w:tcPr>
            <w:tcW w:type="dxa" w:w="2880"/>
          </w:tcPr>
          <w:p>
            <w:r>
              <w:rPr>
                <w:sz w:val="19"/>
              </w:rPr>
            </w:r>
            <w:r>
              <w:rPr>
                <w:b/>
                <w:sz w:val="22"/>
              </w:rPr>
              <w:t>Doc</w:t>
            </w:r>
            <w:r>
              <w:rPr>
                <w:sz w:val="22"/>
              </w:rPr>
            </w:r>
          </w:p>
        </w:tc>
        <w:tc>
          <w:tcPr>
            <w:tcW w:type="dxa" w:w="2880"/>
          </w:tcPr>
          <w:p>
            <w:r>
              <w:rPr>
                <w:sz w:val="19"/>
              </w:rPr>
              <w:t>Disaster recovery runbook. Pre-canonical.</w:t>
            </w:r>
          </w:p>
        </w:tc>
      </w:tr>
      <w:tr>
        <w:tc>
          <w:tcPr>
            <w:tcW w:type="dxa" w:w="2880"/>
          </w:tcPr>
          <w:p>
            <w:r>
              <w:rPr>
                <w:sz w:val="19"/>
              </w:rPr>
            </w:r>
            <w:r>
              <w:rPr>
                <w:rFonts w:ascii="Courier New" w:hAnsi="Courier New"/>
                <w:sz w:val="20"/>
              </w:rPr>
              <w:t>ADMIN_OS_PRODUCTION_READINESS.md</w:t>
            </w:r>
            <w:r>
              <w:rPr>
                <w:sz w:val="22"/>
              </w:rPr>
            </w:r>
          </w:p>
        </w:tc>
        <w:tc>
          <w:tcPr>
            <w:tcW w:type="dxa" w:w="2880"/>
          </w:tcPr>
          <w:p>
            <w:r>
              <w:rPr>
                <w:sz w:val="19"/>
              </w:rPr>
            </w:r>
            <w:r>
              <w:rPr>
                <w:b/>
                <w:sz w:val="22"/>
              </w:rPr>
              <w:t>Doc</w:t>
            </w:r>
            <w:r>
              <w:rPr>
                <w:sz w:val="22"/>
              </w:rPr>
            </w:r>
          </w:p>
        </w:tc>
        <w:tc>
          <w:tcPr>
            <w:tcW w:type="dxa" w:w="2880"/>
          </w:tcPr>
          <w:p>
            <w:r>
              <w:rPr>
                <w:sz w:val="19"/>
              </w:rPr>
              <w:t>Production readiness checklist. Pre-canonical.</w:t>
            </w:r>
          </w:p>
        </w:tc>
      </w:tr>
      <w:tr>
        <w:tc>
          <w:tcPr>
            <w:tcW w:type="dxa" w:w="2880"/>
          </w:tcPr>
          <w:p>
            <w:r>
              <w:rPr>
                <w:sz w:val="19"/>
              </w:rPr>
            </w:r>
            <w:r>
              <w:rPr>
                <w:rFonts w:ascii="Courier New" w:hAnsi="Courier New"/>
                <w:sz w:val="20"/>
              </w:rPr>
              <w:t>ADMIN_OS_SECURITY_MATRIX.md</w:t>
            </w:r>
            <w:r>
              <w:rPr>
                <w:sz w:val="22"/>
              </w:rPr>
            </w:r>
          </w:p>
        </w:tc>
        <w:tc>
          <w:tcPr>
            <w:tcW w:type="dxa" w:w="2880"/>
          </w:tcPr>
          <w:p>
            <w:r>
              <w:rPr>
                <w:sz w:val="19"/>
              </w:rPr>
            </w:r>
            <w:r>
              <w:rPr>
                <w:b/>
                <w:sz w:val="22"/>
              </w:rPr>
              <w:t>Doc</w:t>
            </w:r>
            <w:r>
              <w:rPr>
                <w:sz w:val="22"/>
              </w:rPr>
            </w:r>
          </w:p>
        </w:tc>
        <w:tc>
          <w:tcPr>
            <w:tcW w:type="dxa" w:w="2880"/>
          </w:tcPr>
          <w:p>
            <w:r>
              <w:rPr>
                <w:sz w:val="19"/>
              </w:rPr>
              <w:t>Security matrix. Pre-canonical.</w:t>
            </w:r>
          </w:p>
        </w:tc>
      </w:tr>
      <w:tr>
        <w:tc>
          <w:tcPr>
            <w:tcW w:type="dxa" w:w="2880"/>
          </w:tcPr>
          <w:p>
            <w:r>
              <w:rPr>
                <w:sz w:val="19"/>
              </w:rPr>
            </w:r>
            <w:r>
              <w:rPr>
                <w:rFonts w:ascii="Courier New" w:hAnsi="Courier New"/>
                <w:sz w:val="20"/>
              </w:rPr>
              <w:t>ADMIN_OS_SEO_DEPLOYMENT_CHECKLIST.md</w:t>
            </w:r>
            <w:r>
              <w:rPr>
                <w:sz w:val="22"/>
              </w:rPr>
            </w:r>
          </w:p>
        </w:tc>
        <w:tc>
          <w:tcPr>
            <w:tcW w:type="dxa" w:w="2880"/>
          </w:tcPr>
          <w:p>
            <w:r>
              <w:rPr>
                <w:sz w:val="19"/>
              </w:rPr>
            </w:r>
            <w:r>
              <w:rPr>
                <w:b/>
                <w:sz w:val="22"/>
              </w:rPr>
              <w:t>Doc</w:t>
            </w:r>
            <w:r>
              <w:rPr>
                <w:sz w:val="22"/>
              </w:rPr>
            </w:r>
          </w:p>
        </w:tc>
        <w:tc>
          <w:tcPr>
            <w:tcW w:type="dxa" w:w="2880"/>
          </w:tcPr>
          <w:p>
            <w:r>
              <w:rPr>
                <w:sz w:val="19"/>
              </w:rPr>
              <w:t>SEO deployment checklist. Pre-canonical.</w:t>
            </w:r>
          </w:p>
        </w:tc>
      </w:tr>
      <w:tr>
        <w:tc>
          <w:tcPr>
            <w:tcW w:type="dxa" w:w="2880"/>
          </w:tcPr>
          <w:p>
            <w:r>
              <w:rPr>
                <w:sz w:val="19"/>
              </w:rPr>
            </w:r>
            <w:r>
              <w:rPr>
                <w:rFonts w:ascii="Courier New" w:hAnsi="Courier New"/>
                <w:sz w:val="20"/>
              </w:rPr>
              <w:t>ADMIN_OS_STAGING_RELEASE_PACKAGE.md</w:t>
            </w:r>
            <w:r>
              <w:rPr>
                <w:sz w:val="22"/>
              </w:rPr>
            </w:r>
          </w:p>
        </w:tc>
        <w:tc>
          <w:tcPr>
            <w:tcW w:type="dxa" w:w="2880"/>
          </w:tcPr>
          <w:p>
            <w:r>
              <w:rPr>
                <w:sz w:val="19"/>
              </w:rPr>
            </w:r>
            <w:r>
              <w:rPr>
                <w:b/>
                <w:sz w:val="22"/>
              </w:rPr>
              <w:t>Doc</w:t>
            </w:r>
            <w:r>
              <w:rPr>
                <w:sz w:val="22"/>
              </w:rPr>
            </w:r>
          </w:p>
        </w:tc>
        <w:tc>
          <w:tcPr>
            <w:tcW w:type="dxa" w:w="2880"/>
          </w:tcPr>
          <w:p>
            <w:r>
              <w:rPr>
                <w:sz w:val="19"/>
              </w:rPr>
              <w:t>Staging release documentation. Pre-canonical.</w:t>
            </w:r>
          </w:p>
        </w:tc>
      </w:tr>
      <w:tr>
        <w:tc>
          <w:tcPr>
            <w:tcW w:type="dxa" w:w="2880"/>
          </w:tcPr>
          <w:p>
            <w:r>
              <w:rPr>
                <w:sz w:val="19"/>
              </w:rPr>
            </w:r>
            <w:r>
              <w:rPr>
                <w:rFonts w:ascii="Courier New" w:hAnsi="Courier New"/>
                <w:sz w:val="20"/>
              </w:rPr>
              <w:t>SECURITY_INCIDENT_S2.md</w:t>
            </w:r>
            <w:r>
              <w:rPr>
                <w:sz w:val="22"/>
              </w:rPr>
            </w:r>
          </w:p>
        </w:tc>
        <w:tc>
          <w:tcPr>
            <w:tcW w:type="dxa" w:w="2880"/>
          </w:tcPr>
          <w:p>
            <w:r>
              <w:rPr>
                <w:sz w:val="19"/>
              </w:rPr>
            </w:r>
            <w:r>
              <w:rPr>
                <w:b/>
                <w:sz w:val="22"/>
              </w:rPr>
              <w:t>Doc</w:t>
            </w:r>
            <w:r>
              <w:rPr>
                <w:sz w:val="22"/>
              </w:rPr>
            </w:r>
          </w:p>
        </w:tc>
        <w:tc>
          <w:tcPr>
            <w:tcW w:type="dxa" w:w="2880"/>
          </w:tcPr>
          <w:p>
            <w:r>
              <w:rPr>
                <w:sz w:val="19"/>
              </w:rPr>
              <w:t>Record of a specific security incident. Historical.</w:t>
            </w:r>
          </w:p>
        </w:tc>
      </w:tr>
      <w:tr>
        <w:tc>
          <w:tcPr>
            <w:tcW w:type="dxa" w:w="2880"/>
          </w:tcPr>
          <w:p>
            <w:r>
              <w:rPr>
                <w:sz w:val="19"/>
              </w:rPr>
            </w:r>
            <w:r>
              <w:rPr>
                <w:rFonts w:ascii="Courier New" w:hAnsi="Courier New"/>
                <w:sz w:val="20"/>
              </w:rPr>
              <w:t>Estabizz_Project_Documentation.docx</w:t>
            </w:r>
            <w:r>
              <w:rPr>
                <w:sz w:val="22"/>
              </w:rPr>
            </w:r>
          </w:p>
        </w:tc>
        <w:tc>
          <w:tcPr>
            <w:tcW w:type="dxa" w:w="2880"/>
          </w:tcPr>
          <w:p>
            <w:r>
              <w:rPr>
                <w:sz w:val="19"/>
              </w:rPr>
            </w:r>
            <w:r>
              <w:rPr>
                <w:b/>
                <w:sz w:val="22"/>
              </w:rPr>
              <w:t>Untracked</w:t>
            </w:r>
            <w:r>
              <w:rPr>
                <w:sz w:val="22"/>
              </w:rPr>
            </w:r>
          </w:p>
        </w:tc>
        <w:tc>
          <w:tcPr>
            <w:tcW w:type="dxa" w:w="2880"/>
          </w:tcPr>
          <w:p>
            <w:r>
              <w:rPr>
                <w:sz w:val="19"/>
              </w:rPr>
              <w:t>Compiled Word version of all docs. Generated; not committed.</w:t>
            </w:r>
          </w:p>
        </w:tc>
      </w:tr>
    </w:tbl>
    <w:p/>
    <w:p>
      <w:r>
        <w:br w:type="page"/>
      </w:r>
    </w:p>
    <w:p>
      <w:pPr>
        <w:pStyle w:val="Heading1"/>
      </w:pPr>
      <w:r>
        <w:rPr>
          <w:color w:val="1A56DB"/>
          <w:sz w:val="40"/>
        </w:rPr>
        <w:t>Estabizz — Duplicate and Unused File Report</w:t>
      </w:r>
    </w:p>
    <w:p>
      <w:pPr>
        <w:ind w:left="360"/>
      </w:pPr>
      <w:r>
        <w:rPr>
          <w:i/>
          <w:color w:val="555555"/>
          <w:sz w:val="20"/>
        </w:rPr>
        <w:t>Created: 2026-07-22 · Branch: **main** (confirmed) · Audit commit: **73f04af**</w:t>
      </w:r>
    </w:p>
    <w:p>
      <w:pPr>
        <w:ind w:left="360"/>
      </w:pPr>
      <w:r>
        <w:rPr>
          <w:i/>
          <w:color w:val="555555"/>
          <w:sz w:val="20"/>
        </w:rPr>
        <w:t>Discovery-only audit. No files were removed or modified during this audit.</w:t>
      </w:r>
    </w:p>
    <w:p>
      <w:pPr>
        <w:ind w:left="360"/>
      </w:pPr>
      <w:r>
        <w:rPr>
          <w:i/>
          <w:color w:val="555555"/>
          <w:sz w:val="20"/>
        </w:rPr>
        <w:t>See ESTABIZZ_FOLDER_CLEANUP_PLAN.md for actionable remediation steps.</w:t>
      </w:r>
    </w:p>
    <w:p/>
    <w:p>
      <w:pPr>
        <w:pStyle w:val="Heading2"/>
      </w:pPr>
      <w:r>
        <w:rPr>
          <w:color w:val="1E40AF"/>
          <w:sz w:val="30"/>
        </w:rP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Category</w:t>
            </w:r>
          </w:p>
        </w:tc>
        <w:tc>
          <w:tcPr>
            <w:tcW w:type="dxa" w:w="2880"/>
          </w:tcPr>
          <w:p>
            <w:r>
              <w:rPr>
                <w:b/>
                <w:sz w:val="19"/>
              </w:rPr>
              <w:t>Count</w:t>
            </w:r>
          </w:p>
        </w:tc>
        <w:tc>
          <w:tcPr>
            <w:tcW w:type="dxa" w:w="2880"/>
          </w:tcPr>
          <w:p>
            <w:r>
              <w:rPr>
                <w:b/>
                <w:sz w:val="19"/>
              </w:rPr>
              <w:t>Impact</w:t>
            </w:r>
          </w:p>
        </w:tc>
      </w:tr>
      <w:tr>
        <w:tc>
          <w:tcPr>
            <w:tcW w:type="dxa" w:w="2880"/>
          </w:tcPr>
          <w:p>
            <w:r>
              <w:rPr>
                <w:sz w:val="19"/>
              </w:rPr>
              <w:t>Redirect-only route files (URL aliases)</w:t>
            </w:r>
          </w:p>
        </w:tc>
        <w:tc>
          <w:tcPr>
            <w:tcW w:type="dxa" w:w="2880"/>
          </w:tcPr>
          <w:p>
            <w:r>
              <w:rPr>
                <w:sz w:val="19"/>
              </w:rPr>
              <w:t>17</w:t>
            </w:r>
          </w:p>
        </w:tc>
        <w:tc>
          <w:tcPr>
            <w:tcW w:type="dxa" w:w="2880"/>
          </w:tcPr>
          <w:p>
            <w:r>
              <w:rPr>
                <w:sz w:val="19"/>
              </w:rPr>
              <w:t xml:space="preserve">Low risk — serve a purpose (301 redirects for SEO), but could be consolidated into </w:t>
            </w:r>
            <w:r>
              <w:rPr>
                <w:rFonts w:ascii="Courier New" w:hAnsi="Courier New"/>
                <w:sz w:val="20"/>
              </w:rPr>
              <w:t>next.config.js</w:t>
            </w:r>
            <w:r>
              <w:rPr>
                <w:sz w:val="22"/>
              </w:rPr>
            </w:r>
          </w:p>
        </w:tc>
      </w:tr>
      <w:tr>
        <w:tc>
          <w:tcPr>
            <w:tcW w:type="dxa" w:w="2880"/>
          </w:tcPr>
          <w:p>
            <w:r>
              <w:rPr>
                <w:sz w:val="19"/>
              </w:rPr>
              <w:t>Legacy static data files (superseded)</w:t>
            </w:r>
          </w:p>
        </w:tc>
        <w:tc>
          <w:tcPr>
            <w:tcW w:type="dxa" w:w="2880"/>
          </w:tcPr>
          <w:p>
            <w:r>
              <w:rPr>
                <w:sz w:val="19"/>
              </w:rPr>
              <w:t>2</w:t>
            </w:r>
          </w:p>
        </w:tc>
        <w:tc>
          <w:tcPr>
            <w:tcW w:type="dxa" w:w="2880"/>
          </w:tcPr>
          <w:p>
            <w:r>
              <w:rPr>
                <w:sz w:val="19"/>
              </w:rPr>
            </w:r>
            <w:r>
              <w:rPr>
                <w:rFonts w:ascii="Courier New" w:hAnsi="Courier New"/>
                <w:sz w:val="20"/>
              </w:rPr>
              <w:t>lib/regulatoryUpdates.ts</w:t>
            </w:r>
            <w:r>
              <w:rPr>
                <w:sz w:val="22"/>
              </w:rPr>
              <w:t xml:space="preserve">, </w:t>
            </w:r>
            <w:r>
              <w:rPr>
                <w:rFonts w:ascii="Courier New" w:hAnsi="Courier New"/>
                <w:sz w:val="20"/>
              </w:rPr>
              <w:t>lib/blog/sampleBlogs.ts</w:t>
            </w:r>
            <w:r>
              <w:rPr>
                <w:sz w:val="22"/>
              </w:rPr>
            </w:r>
          </w:p>
        </w:tc>
      </w:tr>
      <w:tr>
        <w:tc>
          <w:tcPr>
            <w:tcW w:type="dxa" w:w="2880"/>
          </w:tcPr>
          <w:p>
            <w:r>
              <w:rPr>
                <w:sz w:val="19"/>
              </w:rPr>
              <w:t>Generated files tracked in git</w:t>
            </w:r>
          </w:p>
        </w:tc>
        <w:tc>
          <w:tcPr>
            <w:tcW w:type="dxa" w:w="2880"/>
          </w:tcPr>
          <w:p>
            <w:r>
              <w:rPr>
                <w:sz w:val="19"/>
              </w:rPr>
              <w:t>1</w:t>
            </w:r>
          </w:p>
        </w:tc>
        <w:tc>
          <w:tcPr>
            <w:tcW w:type="dxa" w:w="2880"/>
          </w:tcPr>
          <w:p>
            <w:r>
              <w:rPr>
                <w:sz w:val="19"/>
              </w:rPr>
            </w:r>
            <w:r>
              <w:rPr>
                <w:rFonts w:ascii="Courier New" w:hAnsi="Courier New"/>
                <w:sz w:val="20"/>
              </w:rPr>
              <w:t>tsconfig.tsbuildinfo</w:t>
            </w:r>
            <w:r>
              <w:rPr>
                <w:sz w:val="22"/>
              </w:rPr>
            </w:r>
          </w:p>
        </w:tc>
      </w:tr>
      <w:tr>
        <w:tc>
          <w:tcPr>
            <w:tcW w:type="dxa" w:w="2880"/>
          </w:tcPr>
          <w:p>
            <w:r>
              <w:rPr>
                <w:sz w:val="19"/>
              </w:rPr>
              <w:t>Misnamed files (prevent purpose)</w:t>
            </w:r>
          </w:p>
        </w:tc>
        <w:tc>
          <w:tcPr>
            <w:tcW w:type="dxa" w:w="2880"/>
          </w:tcPr>
          <w:p>
            <w:r>
              <w:rPr>
                <w:sz w:val="19"/>
              </w:rPr>
              <w:t>1</w:t>
            </w:r>
          </w:p>
        </w:tc>
        <w:tc>
          <w:tcPr>
            <w:tcW w:type="dxa" w:w="2880"/>
          </w:tcPr>
          <w:p>
            <w:r>
              <w:rPr>
                <w:sz w:val="19"/>
              </w:rPr>
            </w:r>
            <w:r>
              <w:rPr>
                <w:rFonts w:ascii="Courier New" w:hAnsi="Courier New"/>
                <w:sz w:val="20"/>
              </w:rPr>
              <w:t>proxy.ts</w:t>
            </w:r>
            <w:r>
              <w:rPr>
                <w:sz w:val="22"/>
              </w:rPr>
            </w:r>
          </w:p>
        </w:tc>
      </w:tr>
      <w:tr>
        <w:tc>
          <w:tcPr>
            <w:tcW w:type="dxa" w:w="2880"/>
          </w:tcPr>
          <w:p>
            <w:r>
              <w:rPr>
                <w:sz w:val="19"/>
              </w:rPr>
              <w:t>Empty directories</w:t>
            </w:r>
          </w:p>
        </w:tc>
        <w:tc>
          <w:tcPr>
            <w:tcW w:type="dxa" w:w="2880"/>
          </w:tcPr>
          <w:p>
            <w:r>
              <w:rPr>
                <w:sz w:val="19"/>
              </w:rPr>
              <w:t>1</w:t>
            </w:r>
          </w:p>
        </w:tc>
        <w:tc>
          <w:tcPr>
            <w:tcW w:type="dxa" w:w="2880"/>
          </w:tcPr>
          <w:p>
            <w:r>
              <w:rPr>
                <w:sz w:val="19"/>
              </w:rPr>
            </w:r>
            <w:r>
              <w:rPr>
                <w:rFonts w:ascii="Courier New" w:hAnsi="Courier New"/>
                <w:sz w:val="20"/>
              </w:rPr>
              <w:t>scratch/</w:t>
            </w:r>
            <w:r>
              <w:rPr>
                <w:sz w:val="22"/>
              </w:rPr>
            </w:r>
          </w:p>
        </w:tc>
      </w:tr>
      <w:tr>
        <w:tc>
          <w:tcPr>
            <w:tcW w:type="dxa" w:w="2880"/>
          </w:tcPr>
          <w:p>
            <w:r>
              <w:rPr>
                <w:sz w:val="19"/>
              </w:rPr>
              <w:t>Untracked binary files</w:t>
            </w:r>
          </w:p>
        </w:tc>
        <w:tc>
          <w:tcPr>
            <w:tcW w:type="dxa" w:w="2880"/>
          </w:tcPr>
          <w:p>
            <w:r>
              <w:rPr>
                <w:sz w:val="19"/>
              </w:rPr>
              <w:t>1</w:t>
            </w:r>
          </w:p>
        </w:tc>
        <w:tc>
          <w:tcPr>
            <w:tcW w:type="dxa" w:w="2880"/>
          </w:tcPr>
          <w:p>
            <w:r>
              <w:rPr>
                <w:sz w:val="19"/>
              </w:rPr>
            </w:r>
            <w:r>
              <w:rPr>
                <w:rFonts w:ascii="Courier New" w:hAnsi="Courier New"/>
                <w:sz w:val="20"/>
              </w:rPr>
              <w:t>Estabizz_Project_Documentation.docx</w:t>
            </w:r>
            <w:r>
              <w:rPr>
                <w:sz w:val="22"/>
              </w:rPr>
            </w:r>
          </w:p>
        </w:tc>
      </w:tr>
      <w:tr>
        <w:tc>
          <w:tcPr>
            <w:tcW w:type="dxa" w:w="2880"/>
          </w:tcPr>
          <w:p>
            <w:r>
              <w:rPr>
                <w:sz w:val="19"/>
              </w:rPr>
              <w:t>Placeholder UI files (no implementation)</w:t>
            </w:r>
          </w:p>
        </w:tc>
        <w:tc>
          <w:tcPr>
            <w:tcW w:type="dxa" w:w="2880"/>
          </w:tcPr>
          <w:p>
            <w:r>
              <w:rPr>
                <w:sz w:val="19"/>
              </w:rPr>
              <w:t>4</w:t>
            </w:r>
          </w:p>
        </w:tc>
        <w:tc>
          <w:tcPr>
            <w:tcW w:type="dxa" w:w="2880"/>
          </w:tcPr>
          <w:p>
            <w:r>
              <w:rPr>
                <w:sz w:val="19"/>
              </w:rPr>
            </w:r>
            <w:r>
              <w:rPr>
                <w:rFonts w:ascii="Courier New" w:hAnsi="Courier New"/>
                <w:sz w:val="20"/>
              </w:rPr>
              <w:t>admin/authors</w:t>
            </w:r>
            <w:r>
              <w:rPr>
                <w:sz w:val="22"/>
              </w:rPr>
              <w:t xml:space="preserve">, </w:t>
            </w:r>
            <w:r>
              <w:rPr>
                <w:rFonts w:ascii="Courier New" w:hAnsi="Courier New"/>
                <w:sz w:val="20"/>
              </w:rPr>
              <w:t>admin/categories</w:t>
            </w:r>
            <w:r>
              <w:rPr>
                <w:sz w:val="22"/>
              </w:rPr>
              <w:t xml:space="preserve">, </w:t>
            </w:r>
            <w:r>
              <w:rPr>
                <w:rFonts w:ascii="Courier New" w:hAnsi="Courier New"/>
                <w:sz w:val="20"/>
              </w:rPr>
              <w:t>admin/settings</w:t>
            </w:r>
            <w:r>
              <w:rPr>
                <w:sz w:val="22"/>
              </w:rPr>
              <w:t>, generic content-page edit shell</w:t>
            </w:r>
          </w:p>
        </w:tc>
      </w:tr>
      <w:tr>
        <w:tc>
          <w:tcPr>
            <w:tcW w:type="dxa" w:w="2880"/>
          </w:tcPr>
          <w:p>
            <w:r>
              <w:rPr>
                <w:sz w:val="19"/>
              </w:rPr>
              <w:t>Legacy article content (not in CMS)</w:t>
            </w:r>
          </w:p>
        </w:tc>
        <w:tc>
          <w:tcPr>
            <w:tcW w:type="dxa" w:w="2880"/>
          </w:tcPr>
          <w:p>
            <w:r>
              <w:rPr>
                <w:sz w:val="19"/>
              </w:rPr>
              <w:t>3</w:t>
            </w:r>
          </w:p>
        </w:tc>
        <w:tc>
          <w:tcPr>
            <w:tcW w:type="dxa" w:w="2880"/>
          </w:tcPr>
          <w:p>
            <w:r>
              <w:rPr>
                <w:sz w:val="19"/>
              </w:rPr>
            </w:r>
            <w:r>
              <w:rPr>
                <w:rFonts w:ascii="Courier New" w:hAnsi="Courier New"/>
                <w:sz w:val="20"/>
              </w:rPr>
              <w:t>app/regulatory/</w:t>
            </w:r>
            <w:r>
              <w:rPr>
                <w:sz w:val="22"/>
              </w:rPr>
              <w:t xml:space="preserve"> article pages</w:t>
            </w:r>
          </w:p>
        </w:tc>
      </w:tr>
      <w:tr>
        <w:tc>
          <w:tcPr>
            <w:tcW w:type="dxa" w:w="2880"/>
          </w:tcPr>
          <w:p>
            <w:r>
              <w:rPr>
                <w:sz w:val="19"/>
              </w:rPr>
              <w:t>Internal pages publicly accessible without auth</w:t>
            </w:r>
          </w:p>
        </w:tc>
        <w:tc>
          <w:tcPr>
            <w:tcW w:type="dxa" w:w="2880"/>
          </w:tcPr>
          <w:p>
            <w:r>
              <w:rPr>
                <w:sz w:val="19"/>
              </w:rPr>
              <w:t>4+</w:t>
            </w:r>
          </w:p>
        </w:tc>
        <w:tc>
          <w:tcPr>
            <w:tcW w:type="dxa" w:w="2880"/>
          </w:tcPr>
          <w:p>
            <w:r>
              <w:rPr>
                <w:sz w:val="19"/>
              </w:rPr>
            </w:r>
            <w:r>
              <w:rPr>
                <w:rFonts w:ascii="Courier New" w:hAnsi="Courier New"/>
                <w:sz w:val="20"/>
              </w:rPr>
              <w:t>resources/content-rebuild-command</w:t>
            </w:r>
            <w:r>
              <w:rPr>
                <w:sz w:val="22"/>
              </w:rPr>
              <w:t xml:space="preserve">, </w:t>
            </w:r>
            <w:r>
              <w:rPr>
                <w:rFonts w:ascii="Courier New" w:hAnsi="Courier New"/>
                <w:sz w:val="20"/>
              </w:rPr>
              <w:t>resources/regulatory-update-email-template</w:t>
            </w:r>
            <w:r>
              <w:rPr>
                <w:sz w:val="22"/>
              </w:rPr>
              <w:t xml:space="preserve">, </w:t>
            </w:r>
            <w:r>
              <w:rPr>
                <w:rFonts w:ascii="Courier New" w:hAnsi="Courier New"/>
                <w:sz w:val="20"/>
              </w:rPr>
              <w:t>resources/service-page-content-framework</w:t>
            </w:r>
            <w:r>
              <w:rPr>
                <w:sz w:val="22"/>
              </w:rPr>
              <w:t xml:space="preserve">, </w:t>
            </w:r>
            <w:r>
              <w:rPr>
                <w:rFonts w:ascii="Courier New" w:hAnsi="Courier New"/>
                <w:sz w:val="20"/>
              </w:rPr>
              <w:t>proposal-template</w:t>
            </w:r>
            <w:r>
              <w:rPr>
                <w:sz w:val="22"/>
              </w:rPr>
            </w:r>
          </w:p>
        </w:tc>
      </w:tr>
    </w:tbl>
    <w:p/>
    <w:p/>
    <w:p>
      <w:pPr>
        <w:pStyle w:val="Heading2"/>
      </w:pPr>
      <w:r>
        <w:rPr>
          <w:color w:val="1E40AF"/>
          <w:sz w:val="30"/>
        </w:rPr>
        <w:t>Category 1: Redirect-Only Route Files</w:t>
      </w:r>
    </w:p>
    <w:p>
      <w:r>
        <w:rPr>
          <w:sz w:val="22"/>
        </w:rPr>
        <w:t xml:space="preserve">These 17 files each contain only a single </w:t>
      </w:r>
      <w:r>
        <w:rPr>
          <w:rFonts w:ascii="Courier New" w:hAnsi="Courier New"/>
          <w:sz w:val="20"/>
        </w:rPr>
        <w:t>redirect()</w:t>
      </w:r>
      <w:r>
        <w:rPr>
          <w:sz w:val="22"/>
        </w:rPr>
        <w:t xml:space="preserve"> call. They are functional (they serve valid 301 redirects for SEO and link preservation), but they could optionally be consolidated into </w:t>
      </w:r>
      <w:r>
        <w:rPr>
          <w:rFonts w:ascii="Courier New" w:hAnsi="Courier New"/>
          <w:sz w:val="20"/>
        </w:rPr>
        <w:t>next.config.js</w:t>
      </w:r>
      <w:r>
        <w:rPr>
          <w:sz w:val="22"/>
        </w:rPr>
        <w:t xml:space="preserve"> </w:t>
      </w:r>
      <w:r>
        <w:rPr>
          <w:rFonts w:ascii="Courier New" w:hAnsi="Courier New"/>
          <w:sz w:val="20"/>
        </w:rPr>
        <w:t>redirects</w:t>
      </w:r>
      <w:r>
        <w:rPr>
          <w:sz w:val="22"/>
        </w:rPr>
        <w:t xml:space="preserve"> config to reduce file count and simplify the route tree.</w:t>
      </w:r>
    </w:p>
    <w:p>
      <w:r>
        <w:rPr>
          <w:sz w:val="22"/>
        </w:rPr>
      </w:r>
      <w:r>
        <w:rPr>
          <w:b/>
          <w:sz w:val="22"/>
        </w:rPr>
        <w:t>SEBI aliases (8 files):</w:t>
      </w:r>
      <w:r>
        <w:rPr>
          <w:sz w:val="22"/>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Redirects to</w:t>
            </w:r>
          </w:p>
        </w:tc>
        <w:tc>
          <w:tcPr>
            <w:tcW w:type="dxa" w:w="2880"/>
          </w:tcPr>
          <w:p>
            <w:r>
              <w:rPr>
                <w:b/>
                <w:sz w:val="19"/>
              </w:rPr>
              <w:t>Reason for alias</w:t>
            </w:r>
          </w:p>
        </w:tc>
      </w:tr>
      <w:tr>
        <w:tc>
          <w:tcPr>
            <w:tcW w:type="dxa" w:w="2880"/>
          </w:tcPr>
          <w:p>
            <w:r>
              <w:rPr>
                <w:sz w:val="19"/>
              </w:rPr>
            </w:r>
            <w:r>
              <w:rPr>
                <w:rFonts w:ascii="Courier New" w:hAnsi="Courier New"/>
                <w:sz w:val="20"/>
              </w:rPr>
              <w:t>app/sebi/investment-adviser-registration/page.tsx</w:t>
            </w:r>
            <w:r>
              <w:rPr>
                <w:sz w:val="22"/>
              </w:rPr>
            </w:r>
          </w:p>
        </w:tc>
        <w:tc>
          <w:tcPr>
            <w:tcW w:type="dxa" w:w="2880"/>
          </w:tcPr>
          <w:p>
            <w:r>
              <w:rPr>
                <w:sz w:val="19"/>
              </w:rPr>
            </w:r>
            <w:r>
              <w:rPr>
                <w:rFonts w:ascii="Courier New" w:hAnsi="Courier New"/>
                <w:sz w:val="20"/>
              </w:rPr>
              <w:t>/sebi/ria-registration-in-india</w:t>
            </w:r>
            <w:r>
              <w:rPr>
                <w:sz w:val="22"/>
              </w:rPr>
            </w:r>
          </w:p>
        </w:tc>
        <w:tc>
          <w:tcPr>
            <w:tcW w:type="dxa" w:w="2880"/>
          </w:tcPr>
          <w:p>
            <w:r>
              <w:rPr>
                <w:sz w:val="19"/>
              </w:rPr>
              <w:t>Old URL</w:t>
            </w:r>
          </w:p>
        </w:tc>
      </w:tr>
      <w:tr>
        <w:tc>
          <w:tcPr>
            <w:tcW w:type="dxa" w:w="2880"/>
          </w:tcPr>
          <w:p>
            <w:r>
              <w:rPr>
                <w:sz w:val="19"/>
              </w:rPr>
            </w:r>
            <w:r>
              <w:rPr>
                <w:rFonts w:ascii="Courier New" w:hAnsi="Courier New"/>
                <w:sz w:val="20"/>
              </w:rPr>
              <w:t>app/sebi/portfolio-manager-registration/page.tsx</w:t>
            </w:r>
            <w:r>
              <w:rPr>
                <w:sz w:val="22"/>
              </w:rPr>
            </w:r>
          </w:p>
        </w:tc>
        <w:tc>
          <w:tcPr>
            <w:tcW w:type="dxa" w:w="2880"/>
          </w:tcPr>
          <w:p>
            <w:r>
              <w:rPr>
                <w:sz w:val="19"/>
              </w:rPr>
            </w:r>
            <w:r>
              <w:rPr>
                <w:rFonts w:ascii="Courier New" w:hAnsi="Courier New"/>
                <w:sz w:val="20"/>
              </w:rPr>
              <w:t>/sebi/pms-registration-in-india</w:t>
            </w:r>
            <w:r>
              <w:rPr>
                <w:sz w:val="22"/>
              </w:rPr>
            </w:r>
          </w:p>
        </w:tc>
        <w:tc>
          <w:tcPr>
            <w:tcW w:type="dxa" w:w="2880"/>
          </w:tcPr>
          <w:p>
            <w:r>
              <w:rPr>
                <w:sz w:val="19"/>
              </w:rPr>
              <w:t>Old URL</w:t>
            </w:r>
          </w:p>
        </w:tc>
      </w:tr>
      <w:tr>
        <w:tc>
          <w:tcPr>
            <w:tcW w:type="dxa" w:w="2880"/>
          </w:tcPr>
          <w:p>
            <w:r>
              <w:rPr>
                <w:sz w:val="19"/>
              </w:rPr>
            </w:r>
            <w:r>
              <w:rPr>
                <w:rFonts w:ascii="Courier New" w:hAnsi="Courier New"/>
                <w:sz w:val="20"/>
              </w:rPr>
              <w:t>app/sebi/research-analyst-registration/page.tsx</w:t>
            </w:r>
            <w:r>
              <w:rPr>
                <w:sz w:val="22"/>
              </w:rPr>
            </w:r>
          </w:p>
        </w:tc>
        <w:tc>
          <w:tcPr>
            <w:tcW w:type="dxa" w:w="2880"/>
          </w:tcPr>
          <w:p>
            <w:r>
              <w:rPr>
                <w:sz w:val="19"/>
              </w:rPr>
            </w:r>
            <w:r>
              <w:rPr>
                <w:rFonts w:ascii="Courier New" w:hAnsi="Courier New"/>
                <w:sz w:val="20"/>
              </w:rPr>
              <w:t>/sebi/research-analyst-registration-in-india</w:t>
            </w:r>
            <w:r>
              <w:rPr>
                <w:sz w:val="22"/>
              </w:rPr>
            </w:r>
          </w:p>
        </w:tc>
        <w:tc>
          <w:tcPr>
            <w:tcW w:type="dxa" w:w="2880"/>
          </w:tcPr>
          <w:p>
            <w:r>
              <w:rPr>
                <w:sz w:val="19"/>
              </w:rPr>
              <w:t>Old URL</w:t>
            </w:r>
          </w:p>
        </w:tc>
      </w:tr>
      <w:tr>
        <w:tc>
          <w:tcPr>
            <w:tcW w:type="dxa" w:w="2880"/>
          </w:tcPr>
          <w:p>
            <w:r>
              <w:rPr>
                <w:sz w:val="19"/>
              </w:rPr>
            </w:r>
            <w:r>
              <w:rPr>
                <w:rFonts w:ascii="Courier New" w:hAnsi="Courier New"/>
                <w:sz w:val="20"/>
              </w:rPr>
              <w:t>app/sebi/sebi-ria-registration/page.tsx</w:t>
            </w:r>
            <w:r>
              <w:rPr>
                <w:sz w:val="22"/>
              </w:rPr>
            </w:r>
          </w:p>
        </w:tc>
        <w:tc>
          <w:tcPr>
            <w:tcW w:type="dxa" w:w="2880"/>
          </w:tcPr>
          <w:p>
            <w:r>
              <w:rPr>
                <w:sz w:val="19"/>
              </w:rPr>
            </w:r>
            <w:r>
              <w:rPr>
                <w:rFonts w:ascii="Courier New" w:hAnsi="Courier New"/>
                <w:sz w:val="20"/>
              </w:rPr>
              <w:t>/sebi/ria-registration-in-india</w:t>
            </w:r>
            <w:r>
              <w:rPr>
                <w:sz w:val="22"/>
              </w:rPr>
            </w:r>
          </w:p>
        </w:tc>
        <w:tc>
          <w:tcPr>
            <w:tcW w:type="dxa" w:w="2880"/>
          </w:tcPr>
          <w:p>
            <w:r>
              <w:rPr>
                <w:sz w:val="19"/>
              </w:rPr>
              <w:t>Alternative slug</w:t>
            </w:r>
          </w:p>
        </w:tc>
      </w:tr>
      <w:tr>
        <w:tc>
          <w:tcPr>
            <w:tcW w:type="dxa" w:w="2880"/>
          </w:tcPr>
          <w:p>
            <w:r>
              <w:rPr>
                <w:sz w:val="19"/>
              </w:rPr>
            </w:r>
            <w:r>
              <w:rPr>
                <w:rFonts w:ascii="Courier New" w:hAnsi="Courier New"/>
                <w:sz w:val="20"/>
              </w:rPr>
              <w:t>app/sebi/sebi-stock-broker-registration/page.tsx</w:t>
            </w:r>
            <w:r>
              <w:rPr>
                <w:sz w:val="22"/>
              </w:rPr>
            </w:r>
          </w:p>
        </w:tc>
        <w:tc>
          <w:tcPr>
            <w:tcW w:type="dxa" w:w="2880"/>
          </w:tcPr>
          <w:p>
            <w:r>
              <w:rPr>
                <w:sz w:val="19"/>
              </w:rPr>
            </w:r>
            <w:r>
              <w:rPr>
                <w:rFonts w:ascii="Courier New" w:hAnsi="Courier New"/>
                <w:sz w:val="20"/>
              </w:rPr>
              <w:t>/sebi/stock-broker-registration-in-india</w:t>
            </w:r>
            <w:r>
              <w:rPr>
                <w:sz w:val="22"/>
              </w:rPr>
            </w:r>
          </w:p>
        </w:tc>
        <w:tc>
          <w:tcPr>
            <w:tcW w:type="dxa" w:w="2880"/>
          </w:tcPr>
          <w:p>
            <w:r>
              <w:rPr>
                <w:sz w:val="19"/>
              </w:rPr>
              <w:t>Alternative slug</w:t>
            </w:r>
          </w:p>
        </w:tc>
      </w:tr>
      <w:tr>
        <w:tc>
          <w:tcPr>
            <w:tcW w:type="dxa" w:w="2880"/>
          </w:tcPr>
          <w:p>
            <w:r>
              <w:rPr>
                <w:sz w:val="19"/>
              </w:rPr>
            </w:r>
            <w:r>
              <w:rPr>
                <w:rFonts w:ascii="Courier New" w:hAnsi="Courier New"/>
                <w:sz w:val="20"/>
              </w:rPr>
              <w:t>app/sebi/social-stock-exchange-license/page.tsx</w:t>
            </w:r>
            <w:r>
              <w:rPr>
                <w:sz w:val="22"/>
              </w:rPr>
            </w:r>
          </w:p>
        </w:tc>
        <w:tc>
          <w:tcPr>
            <w:tcW w:type="dxa" w:w="2880"/>
          </w:tcPr>
          <w:p>
            <w:r>
              <w:rPr>
                <w:sz w:val="19"/>
              </w:rPr>
            </w:r>
            <w:r>
              <w:rPr>
                <w:rFonts w:ascii="Courier New" w:hAnsi="Courier New"/>
                <w:sz w:val="20"/>
              </w:rPr>
              <w:t>/sebi/social-stock-exchange-license-india</w:t>
            </w:r>
            <w:r>
              <w:rPr>
                <w:sz w:val="22"/>
              </w:rPr>
            </w:r>
          </w:p>
        </w:tc>
        <w:tc>
          <w:tcPr>
            <w:tcW w:type="dxa" w:w="2880"/>
          </w:tcPr>
          <w:p>
            <w:r>
              <w:rPr>
                <w:sz w:val="19"/>
              </w:rPr>
              <w:t>Old URL</w:t>
            </w:r>
          </w:p>
        </w:tc>
      </w:tr>
      <w:tr>
        <w:tc>
          <w:tcPr>
            <w:tcW w:type="dxa" w:w="2880"/>
          </w:tcPr>
          <w:p>
            <w:r>
              <w:rPr>
                <w:sz w:val="19"/>
              </w:rPr>
            </w:r>
            <w:r>
              <w:rPr>
                <w:rFonts w:ascii="Courier New" w:hAnsi="Courier New"/>
                <w:sz w:val="20"/>
              </w:rPr>
              <w:t>app/sebi/stock-broker-license-india/page.tsx</w:t>
            </w:r>
            <w:r>
              <w:rPr>
                <w:sz w:val="22"/>
              </w:rPr>
            </w:r>
          </w:p>
        </w:tc>
        <w:tc>
          <w:tcPr>
            <w:tcW w:type="dxa" w:w="2880"/>
          </w:tcPr>
          <w:p>
            <w:r>
              <w:rPr>
                <w:sz w:val="19"/>
              </w:rPr>
            </w:r>
            <w:r>
              <w:rPr>
                <w:rFonts w:ascii="Courier New" w:hAnsi="Courier New"/>
                <w:sz w:val="20"/>
              </w:rPr>
              <w:t>/sebi/stock-broker-registration-in-india</w:t>
            </w:r>
            <w:r>
              <w:rPr>
                <w:sz w:val="22"/>
              </w:rPr>
            </w:r>
          </w:p>
        </w:tc>
        <w:tc>
          <w:tcPr>
            <w:tcW w:type="dxa" w:w="2880"/>
          </w:tcPr>
          <w:p>
            <w:r>
              <w:rPr>
                <w:sz w:val="19"/>
              </w:rPr>
              <w:t>Alternative slug</w:t>
            </w:r>
          </w:p>
        </w:tc>
      </w:tr>
      <w:tr>
        <w:tc>
          <w:tcPr>
            <w:tcW w:type="dxa" w:w="2880"/>
          </w:tcPr>
          <w:p>
            <w:r>
              <w:rPr>
                <w:sz w:val="19"/>
              </w:rPr>
            </w:r>
            <w:r>
              <w:rPr>
                <w:rFonts w:ascii="Courier New" w:hAnsi="Courier New"/>
                <w:sz w:val="20"/>
              </w:rPr>
              <w:t>app/sebi/stock-broker-registration/page.tsx</w:t>
            </w:r>
            <w:r>
              <w:rPr>
                <w:sz w:val="22"/>
              </w:rPr>
            </w:r>
          </w:p>
        </w:tc>
        <w:tc>
          <w:tcPr>
            <w:tcW w:type="dxa" w:w="2880"/>
          </w:tcPr>
          <w:p>
            <w:r>
              <w:rPr>
                <w:sz w:val="19"/>
              </w:rPr>
            </w:r>
            <w:r>
              <w:rPr>
                <w:rFonts w:ascii="Courier New" w:hAnsi="Courier New"/>
                <w:sz w:val="20"/>
              </w:rPr>
              <w:t>/sebi/stock-broker-registration-in-india</w:t>
            </w:r>
            <w:r>
              <w:rPr>
                <w:sz w:val="22"/>
              </w:rPr>
            </w:r>
          </w:p>
        </w:tc>
        <w:tc>
          <w:tcPr>
            <w:tcW w:type="dxa" w:w="2880"/>
          </w:tcPr>
          <w:p>
            <w:r>
              <w:rPr>
                <w:sz w:val="19"/>
              </w:rPr>
              <w:t>Old URL</w:t>
            </w:r>
          </w:p>
        </w:tc>
      </w:tr>
    </w:tbl>
    <w:p/>
    <w:p>
      <w:r>
        <w:rPr>
          <w:sz w:val="22"/>
        </w:rPr>
      </w:r>
      <w:r>
        <w:rPr>
          <w:b/>
          <w:sz w:val="22"/>
        </w:rPr>
        <w:t>IFSCA aliases (7 files):</w:t>
      </w:r>
      <w:r>
        <w:rPr>
          <w:sz w:val="22"/>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Redirects to</w:t>
            </w:r>
          </w:p>
        </w:tc>
        <w:tc>
          <w:tcPr>
            <w:tcW w:type="dxa" w:w="2880"/>
          </w:tcPr>
          <w:p>
            <w:r>
              <w:rPr>
                <w:b/>
                <w:sz w:val="19"/>
              </w:rPr>
              <w:t>Reason for alias</w:t>
            </w:r>
          </w:p>
        </w:tc>
      </w:tr>
      <w:tr>
        <w:tc>
          <w:tcPr>
            <w:tcW w:type="dxa" w:w="2880"/>
          </w:tcPr>
          <w:p>
            <w:r>
              <w:rPr>
                <w:sz w:val="19"/>
              </w:rPr>
            </w:r>
            <w:r>
              <w:rPr>
                <w:rFonts w:ascii="Courier New" w:hAnsi="Courier New"/>
                <w:sz w:val="20"/>
              </w:rPr>
              <w:t>app/ifsca/aircraft-leasing/page.tsx</w:t>
            </w:r>
            <w:r>
              <w:rPr>
                <w:sz w:val="22"/>
              </w:rPr>
            </w:r>
          </w:p>
        </w:tc>
        <w:tc>
          <w:tcPr>
            <w:tcW w:type="dxa" w:w="2880"/>
          </w:tcPr>
          <w:p>
            <w:r>
              <w:rPr>
                <w:sz w:val="19"/>
              </w:rPr>
            </w:r>
            <w:r>
              <w:rPr>
                <w:rFonts w:ascii="Courier New" w:hAnsi="Courier New"/>
                <w:sz w:val="20"/>
              </w:rPr>
              <w:t>/ifsca/aircraft-leasing-registration-in-ifsc</w:t>
            </w:r>
            <w:r>
              <w:rPr>
                <w:sz w:val="22"/>
              </w:rPr>
            </w:r>
          </w:p>
        </w:tc>
        <w:tc>
          <w:tcPr>
            <w:tcW w:type="dxa" w:w="2880"/>
          </w:tcPr>
          <w:p>
            <w:r>
              <w:rPr>
                <w:sz w:val="19"/>
              </w:rPr>
              <w:t>Old URL</w:t>
            </w:r>
          </w:p>
        </w:tc>
      </w:tr>
      <w:tr>
        <w:tc>
          <w:tcPr>
            <w:tcW w:type="dxa" w:w="2880"/>
          </w:tcPr>
          <w:p>
            <w:r>
              <w:rPr>
                <w:sz w:val="19"/>
              </w:rPr>
            </w:r>
            <w:r>
              <w:rPr>
                <w:rFonts w:ascii="Courier New" w:hAnsi="Courier New"/>
                <w:sz w:val="20"/>
              </w:rPr>
              <w:t>app/ifsca/batf-services/page.tsx</w:t>
            </w:r>
            <w:r>
              <w:rPr>
                <w:sz w:val="22"/>
              </w:rPr>
            </w:r>
          </w:p>
        </w:tc>
        <w:tc>
          <w:tcPr>
            <w:tcW w:type="dxa" w:w="2880"/>
          </w:tcPr>
          <w:p>
            <w:r>
              <w:rPr>
                <w:sz w:val="19"/>
              </w:rPr>
            </w:r>
            <w:r>
              <w:rPr>
                <w:rFonts w:ascii="Courier New" w:hAnsi="Courier New"/>
                <w:sz w:val="20"/>
              </w:rPr>
              <w:t>/ifsca/batf-services-registration-in-gift-ifsc</w:t>
            </w:r>
            <w:r>
              <w:rPr>
                <w:sz w:val="22"/>
              </w:rPr>
            </w:r>
          </w:p>
        </w:tc>
        <w:tc>
          <w:tcPr>
            <w:tcW w:type="dxa" w:w="2880"/>
          </w:tcPr>
          <w:p>
            <w:r>
              <w:rPr>
                <w:sz w:val="19"/>
              </w:rPr>
              <w:t>Old URL</w:t>
            </w:r>
          </w:p>
        </w:tc>
      </w:tr>
      <w:tr>
        <w:tc>
          <w:tcPr>
            <w:tcW w:type="dxa" w:w="2880"/>
          </w:tcPr>
          <w:p>
            <w:r>
              <w:rPr>
                <w:sz w:val="19"/>
              </w:rPr>
            </w:r>
            <w:r>
              <w:rPr>
                <w:rFonts w:ascii="Courier New" w:hAnsi="Courier New"/>
                <w:sz w:val="20"/>
              </w:rPr>
              <w:t>app/ifsca/finance-company/page.tsx</w:t>
            </w:r>
            <w:r>
              <w:rPr>
                <w:sz w:val="22"/>
              </w:rPr>
            </w:r>
          </w:p>
        </w:tc>
        <w:tc>
          <w:tcPr>
            <w:tcW w:type="dxa" w:w="2880"/>
          </w:tcPr>
          <w:p>
            <w:r>
              <w:rPr>
                <w:sz w:val="19"/>
              </w:rPr>
            </w:r>
            <w:r>
              <w:rPr>
                <w:rFonts w:ascii="Courier New" w:hAnsi="Courier New"/>
                <w:sz w:val="20"/>
              </w:rPr>
              <w:t>/ifsca/finance-company-in-gift-ifsc</w:t>
            </w:r>
            <w:r>
              <w:rPr>
                <w:sz w:val="22"/>
              </w:rPr>
            </w:r>
          </w:p>
        </w:tc>
        <w:tc>
          <w:tcPr>
            <w:tcW w:type="dxa" w:w="2880"/>
          </w:tcPr>
          <w:p>
            <w:r>
              <w:rPr>
                <w:sz w:val="19"/>
              </w:rPr>
              <w:t>Old URL</w:t>
            </w:r>
          </w:p>
        </w:tc>
      </w:tr>
      <w:tr>
        <w:tc>
          <w:tcPr>
            <w:tcW w:type="dxa" w:w="2880"/>
          </w:tcPr>
          <w:p>
            <w:r>
              <w:rPr>
                <w:sz w:val="19"/>
              </w:rPr>
            </w:r>
            <w:r>
              <w:rPr>
                <w:rFonts w:ascii="Courier New" w:hAnsi="Courier New"/>
                <w:sz w:val="20"/>
              </w:rPr>
              <w:t>app/ifsca/finance-company-registration-in-ifsc/page.tsx</w:t>
            </w:r>
            <w:r>
              <w:rPr>
                <w:sz w:val="22"/>
              </w:rPr>
            </w:r>
          </w:p>
        </w:tc>
        <w:tc>
          <w:tcPr>
            <w:tcW w:type="dxa" w:w="2880"/>
          </w:tcPr>
          <w:p>
            <w:r>
              <w:rPr>
                <w:sz w:val="19"/>
              </w:rPr>
            </w:r>
            <w:r>
              <w:rPr>
                <w:rFonts w:ascii="Courier New" w:hAnsi="Courier New"/>
                <w:sz w:val="20"/>
              </w:rPr>
              <w:t>/ifsca/finance-company-in-gift-ifsc</w:t>
            </w:r>
            <w:r>
              <w:rPr>
                <w:sz w:val="22"/>
              </w:rPr>
            </w:r>
          </w:p>
        </w:tc>
        <w:tc>
          <w:tcPr>
            <w:tcW w:type="dxa" w:w="2880"/>
          </w:tcPr>
          <w:p>
            <w:r>
              <w:rPr>
                <w:sz w:val="19"/>
              </w:rPr>
              <w:t>Duplicate slug variant</w:t>
            </w:r>
          </w:p>
        </w:tc>
      </w:tr>
      <w:tr>
        <w:tc>
          <w:tcPr>
            <w:tcW w:type="dxa" w:w="2880"/>
          </w:tcPr>
          <w:p>
            <w:r>
              <w:rPr>
                <w:sz w:val="19"/>
              </w:rPr>
            </w:r>
            <w:r>
              <w:rPr>
                <w:rFonts w:ascii="Courier New" w:hAnsi="Courier New"/>
                <w:sz w:val="20"/>
              </w:rPr>
              <w:t>app/ifsca/fintech-entity/page.tsx</w:t>
            </w:r>
            <w:r>
              <w:rPr>
                <w:sz w:val="22"/>
              </w:rPr>
            </w:r>
          </w:p>
        </w:tc>
        <w:tc>
          <w:tcPr>
            <w:tcW w:type="dxa" w:w="2880"/>
          </w:tcPr>
          <w:p>
            <w:r>
              <w:rPr>
                <w:sz w:val="19"/>
              </w:rPr>
            </w:r>
            <w:r>
              <w:rPr>
                <w:rFonts w:ascii="Courier New" w:hAnsi="Courier New"/>
                <w:sz w:val="20"/>
              </w:rPr>
              <w:t>/ifsca/ifsca-fintech-startup-incentives</w:t>
            </w:r>
            <w:r>
              <w:rPr>
                <w:sz w:val="22"/>
              </w:rPr>
            </w:r>
          </w:p>
        </w:tc>
        <w:tc>
          <w:tcPr>
            <w:tcW w:type="dxa" w:w="2880"/>
          </w:tcPr>
          <w:p>
            <w:r>
              <w:rPr>
                <w:sz w:val="19"/>
              </w:rPr>
              <w:t>Old URL</w:t>
            </w:r>
          </w:p>
        </w:tc>
      </w:tr>
      <w:tr>
        <w:tc>
          <w:tcPr>
            <w:tcW w:type="dxa" w:w="2880"/>
          </w:tcPr>
          <w:p>
            <w:r>
              <w:rPr>
                <w:sz w:val="19"/>
              </w:rPr>
            </w:r>
            <w:r>
              <w:rPr>
                <w:rFonts w:ascii="Courier New" w:hAnsi="Courier New"/>
                <w:sz w:val="20"/>
              </w:rPr>
              <w:t>app/ifsca/itfs-platform/page.tsx</w:t>
            </w:r>
            <w:r>
              <w:rPr>
                <w:sz w:val="22"/>
              </w:rPr>
            </w:r>
          </w:p>
        </w:tc>
        <w:tc>
          <w:tcPr>
            <w:tcW w:type="dxa" w:w="2880"/>
          </w:tcPr>
          <w:p>
            <w:r>
              <w:rPr>
                <w:sz w:val="19"/>
              </w:rPr>
            </w:r>
            <w:r>
              <w:rPr>
                <w:rFonts w:ascii="Courier New" w:hAnsi="Courier New"/>
                <w:sz w:val="20"/>
              </w:rPr>
              <w:t>/ifsca/itfs-registration-in-gift-ifsc</w:t>
            </w:r>
            <w:r>
              <w:rPr>
                <w:sz w:val="22"/>
              </w:rPr>
            </w:r>
          </w:p>
        </w:tc>
        <w:tc>
          <w:tcPr>
            <w:tcW w:type="dxa" w:w="2880"/>
          </w:tcPr>
          <w:p>
            <w:r>
              <w:rPr>
                <w:sz w:val="19"/>
              </w:rPr>
              <w:t>Old URL</w:t>
            </w:r>
          </w:p>
        </w:tc>
      </w:tr>
      <w:tr>
        <w:tc>
          <w:tcPr>
            <w:tcW w:type="dxa" w:w="2880"/>
          </w:tcPr>
          <w:p>
            <w:r>
              <w:rPr>
                <w:sz w:val="19"/>
              </w:rPr>
            </w:r>
            <w:r>
              <w:rPr>
                <w:rFonts w:ascii="Courier New" w:hAnsi="Courier New"/>
                <w:sz w:val="20"/>
              </w:rPr>
              <w:t>app/ifsca/psp-license/page.tsx</w:t>
            </w:r>
            <w:r>
              <w:rPr>
                <w:sz w:val="22"/>
              </w:rPr>
            </w:r>
          </w:p>
        </w:tc>
        <w:tc>
          <w:tcPr>
            <w:tcW w:type="dxa" w:w="2880"/>
          </w:tcPr>
          <w:p>
            <w:r>
              <w:rPr>
                <w:sz w:val="19"/>
              </w:rPr>
            </w:r>
            <w:r>
              <w:rPr>
                <w:rFonts w:ascii="Courier New" w:hAnsi="Courier New"/>
                <w:sz w:val="20"/>
              </w:rPr>
              <w:t>/ifsca/psp-license-ifsca</w:t>
            </w:r>
            <w:r>
              <w:rPr>
                <w:sz w:val="22"/>
              </w:rPr>
            </w:r>
          </w:p>
        </w:tc>
        <w:tc>
          <w:tcPr>
            <w:tcW w:type="dxa" w:w="2880"/>
          </w:tcPr>
          <w:p>
            <w:r>
              <w:rPr>
                <w:sz w:val="19"/>
              </w:rPr>
              <w:t>Old URL</w:t>
            </w:r>
          </w:p>
        </w:tc>
      </w:tr>
    </w:tbl>
    <w:p/>
    <w:p>
      <w:r>
        <w:rPr>
          <w:sz w:val="22"/>
        </w:rPr>
      </w:r>
      <w:r>
        <w:rPr>
          <w:b/>
          <w:sz w:val="22"/>
        </w:rPr>
        <w:t>Other redirects (2 files):</w:t>
      </w:r>
      <w:r>
        <w:rPr>
          <w:sz w:val="22"/>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Redirects to</w:t>
            </w:r>
          </w:p>
        </w:tc>
        <w:tc>
          <w:tcPr>
            <w:tcW w:type="dxa" w:w="2880"/>
          </w:tcPr>
          <w:p>
            <w:r>
              <w:rPr>
                <w:b/>
                <w:sz w:val="19"/>
              </w:rPr>
              <w:t>Reason for alias</w:t>
            </w:r>
          </w:p>
        </w:tc>
      </w:tr>
      <w:tr>
        <w:tc>
          <w:tcPr>
            <w:tcW w:type="dxa" w:w="2880"/>
          </w:tcPr>
          <w:p>
            <w:r>
              <w:rPr>
                <w:sz w:val="19"/>
              </w:rPr>
            </w:r>
            <w:r>
              <w:rPr>
                <w:rFonts w:ascii="Courier New" w:hAnsi="Courier New"/>
                <w:sz w:val="20"/>
              </w:rPr>
              <w:t>app/regulatory/psp-license-ifsca/page.tsx</w:t>
            </w:r>
            <w:r>
              <w:rPr>
                <w:sz w:val="22"/>
              </w:rPr>
            </w:r>
          </w:p>
        </w:tc>
        <w:tc>
          <w:tcPr>
            <w:tcW w:type="dxa" w:w="2880"/>
          </w:tcPr>
          <w:p>
            <w:r>
              <w:rPr>
                <w:sz w:val="19"/>
              </w:rPr>
            </w:r>
            <w:r>
              <w:rPr>
                <w:rFonts w:ascii="Courier New" w:hAnsi="Courier New"/>
                <w:sz w:val="20"/>
              </w:rPr>
              <w:t>/ifsca/psp-license-ifsca</w:t>
            </w:r>
            <w:r>
              <w:rPr>
                <w:sz w:val="22"/>
              </w:rPr>
            </w:r>
          </w:p>
        </w:tc>
        <w:tc>
          <w:tcPr>
            <w:tcW w:type="dxa" w:w="2880"/>
          </w:tcPr>
          <w:p>
            <w:r>
              <w:rPr>
                <w:sz w:val="19"/>
              </w:rPr>
              <w:t xml:space="preserve">Legacy route in </w:t>
            </w:r>
            <w:r>
              <w:rPr>
                <w:rFonts w:ascii="Courier New" w:hAnsi="Courier New"/>
                <w:sz w:val="20"/>
              </w:rPr>
              <w:t>regulatory/</w:t>
            </w:r>
            <w:r>
              <w:rPr>
                <w:sz w:val="22"/>
              </w:rPr>
              <w:t xml:space="preserve"> section</w:t>
            </w:r>
          </w:p>
        </w:tc>
      </w:tr>
      <w:tr>
        <w:tc>
          <w:tcPr>
            <w:tcW w:type="dxa" w:w="2880"/>
          </w:tcPr>
          <w:p>
            <w:r>
              <w:rPr>
                <w:sz w:val="19"/>
              </w:rPr>
            </w:r>
            <w:r>
              <w:rPr>
                <w:rFonts w:ascii="Courier New" w:hAnsi="Courier New"/>
                <w:sz w:val="20"/>
              </w:rPr>
              <w:t>app/admin/media/page.tsx</w:t>
            </w:r>
            <w:r>
              <w:rPr>
                <w:sz w:val="22"/>
              </w:rPr>
            </w:r>
          </w:p>
        </w:tc>
        <w:tc>
          <w:tcPr>
            <w:tcW w:type="dxa" w:w="2880"/>
          </w:tcPr>
          <w:p>
            <w:r>
              <w:rPr>
                <w:sz w:val="19"/>
              </w:rPr>
            </w:r>
            <w:r>
              <w:rPr>
                <w:rFonts w:ascii="Courier New" w:hAnsi="Courier New"/>
                <w:sz w:val="20"/>
              </w:rPr>
              <w:t>/admin/media-library</w:t>
            </w:r>
            <w:r>
              <w:rPr>
                <w:sz w:val="22"/>
              </w:rPr>
            </w:r>
          </w:p>
        </w:tc>
        <w:tc>
          <w:tcPr>
            <w:tcW w:type="dxa" w:w="2880"/>
          </w:tcPr>
          <w:p>
            <w:r>
              <w:rPr>
                <w:sz w:val="19"/>
              </w:rPr>
              <w:t>Admin URL naming inconsistency</w:t>
            </w:r>
          </w:p>
        </w:tc>
      </w:tr>
    </w:tbl>
    <w:p/>
    <w:p>
      <w:r>
        <w:rPr>
          <w:sz w:val="22"/>
        </w:rPr>
      </w:r>
      <w:r>
        <w:rPr>
          <w:b/>
          <w:sz w:val="22"/>
        </w:rPr>
        <w:t>Risk assessment</w:t>
      </w:r>
      <w:r>
        <w:rPr>
          <w:sz w:val="22"/>
        </w:rPr>
        <w:t xml:space="preserve">: Low. Removing redirect files without replacing them with </w:t>
      </w:r>
      <w:r>
        <w:rPr>
          <w:rFonts w:ascii="Courier New" w:hAnsi="Courier New"/>
          <w:sz w:val="20"/>
        </w:rPr>
        <w:t>next.config.js</w:t>
      </w:r>
      <w:r>
        <w:rPr>
          <w:sz w:val="22"/>
        </w:rPr>
        <w:t xml:space="preserve"> redirects would break existing URLs indexed by Google. Do not delete these without adding equivalent config-level redirects first.</w:t>
      </w:r>
    </w:p>
    <w:p/>
    <w:p>
      <w:pPr>
        <w:pStyle w:val="Heading2"/>
      </w:pPr>
      <w:r>
        <w:rPr>
          <w:color w:val="1E40AF"/>
          <w:sz w:val="30"/>
        </w:rPr>
        <w:t>Category 2: Legacy Static Data Files</w:t>
      </w:r>
    </w:p>
    <w:p>
      <w:pPr>
        <w:pStyle w:val="Heading3"/>
      </w:pPr>
      <w:r>
        <w:rPr>
          <w:color w:val="1D4E89"/>
          <w:sz w:val="26"/>
        </w:rPr>
        <w:t>`lib/regulatoryUpdates.ts`</w:t>
      </w:r>
    </w:p>
    <w:p>
      <w:r>
        <w:rPr>
          <w:sz w:val="22"/>
        </w:rPr>
      </w:r>
      <w:r>
        <w:rPr>
          <w:b/>
          <w:sz w:val="22"/>
        </w:rPr>
        <w:t>Status</w:t>
      </w:r>
      <w:r>
        <w:rPr>
          <w:sz w:val="22"/>
        </w:rPr>
        <w:t>: Legacy — superseded.</w:t>
      </w:r>
    </w:p>
    <w:p>
      <w:r>
        <w:rPr>
          <w:sz w:val="22"/>
        </w:rPr>
      </w:r>
      <w:r>
        <w:rPr>
          <w:b/>
          <w:sz w:val="22"/>
        </w:rPr>
        <w:t>What it contains</w:t>
      </w:r>
      <w:r>
        <w:rPr>
          <w:sz w:val="22"/>
        </w:rPr>
        <w:t xml:space="preserve">: A large static TypeScript array of </w:t>
      </w:r>
      <w:r>
        <w:rPr>
          <w:rFonts w:ascii="Courier New" w:hAnsi="Courier New"/>
          <w:sz w:val="20"/>
        </w:rPr>
        <w:t>RegulatoryUpdate</w:t>
      </w:r>
      <w:r>
        <w:rPr>
          <w:sz w:val="22"/>
        </w:rPr>
        <w:t xml:space="preserve"> objects (type definitions + sample data). This was the original implementation for regulatory update data, before MongoDB was introduced.</w:t>
      </w:r>
    </w:p>
    <w:p>
      <w:r>
        <w:rPr>
          <w:sz w:val="22"/>
        </w:rPr>
      </w:r>
      <w:r>
        <w:rPr>
          <w:b/>
          <w:sz w:val="22"/>
        </w:rPr>
        <w:t>Why it is unused</w:t>
      </w:r>
      <w:r>
        <w:rPr>
          <w:sz w:val="22"/>
        </w:rPr>
        <w:t xml:space="preserve">: The application now uses the </w:t>
      </w:r>
      <w:r>
        <w:rPr>
          <w:rFonts w:ascii="Courier New" w:hAnsi="Courier New"/>
          <w:sz w:val="20"/>
        </w:rPr>
        <w:t>RegulatoryUpdate</w:t>
      </w:r>
      <w:r>
        <w:rPr>
          <w:sz w:val="22"/>
        </w:rPr>
        <w:t xml:space="preserve"> Mongoose model (</w:t>
      </w:r>
      <w:r>
        <w:rPr>
          <w:rFonts w:ascii="Courier New" w:hAnsi="Courier New"/>
          <w:sz w:val="20"/>
        </w:rPr>
        <w:t>lib/models/RegulatoryUpdate.ts</w:t>
      </w:r>
      <w:r>
        <w:rPr>
          <w:sz w:val="22"/>
        </w:rPr>
        <w:t xml:space="preserve">) and the </w:t>
      </w:r>
      <w:r>
        <w:rPr>
          <w:rFonts w:ascii="Courier New" w:hAnsi="Courier New"/>
          <w:sz w:val="20"/>
        </w:rPr>
        <w:t>lib/regulatory/</w:t>
      </w:r>
      <w:r>
        <w:rPr>
          <w:sz w:val="22"/>
        </w:rPr>
        <w:t xml:space="preserve"> repository for all regulatory update operations. The static file in </w:t>
      </w:r>
      <w:r>
        <w:rPr>
          <w:rFonts w:ascii="Courier New" w:hAnsi="Courier New"/>
          <w:sz w:val="20"/>
        </w:rPr>
        <w:t>lib/regulatoryUpdates.ts</w:t>
      </w:r>
      <w:r>
        <w:rPr>
          <w:sz w:val="22"/>
        </w:rPr>
        <w:t xml:space="preserve"> is not imported anywhere in the active Next.js app.</w:t>
      </w:r>
    </w:p>
    <w:p>
      <w:r>
        <w:rPr>
          <w:sz w:val="22"/>
        </w:rPr>
      </w:r>
      <w:r>
        <w:rPr>
          <w:b/>
          <w:sz w:val="22"/>
        </w:rPr>
        <w:t>Risk of deletion</w:t>
      </w:r>
      <w:r>
        <w:rPr>
          <w:sz w:val="22"/>
        </w:rPr>
        <w:t xml:space="preserve">: Low. Verify with </w:t>
      </w:r>
      <w:r>
        <w:rPr>
          <w:rFonts w:ascii="Courier New" w:hAnsi="Courier New"/>
          <w:sz w:val="20"/>
        </w:rPr>
        <w:t>grep -r "regulatoryUpdates" app lib components --include="*.ts" --include="*.tsx"</w:t>
      </w:r>
      <w:r>
        <w:rPr>
          <w:sz w:val="22"/>
        </w:rPr>
        <w:t xml:space="preserve"> returning no results before deleting.</w:t>
      </w:r>
    </w:p>
    <w:p/>
    <w:p>
      <w:pPr>
        <w:pStyle w:val="Heading3"/>
      </w:pPr>
      <w:r>
        <w:rPr>
          <w:color w:val="1D4E89"/>
          <w:sz w:val="26"/>
        </w:rPr>
        <w:t>`lib/blog/sampleBlogs.ts`</w:t>
      </w:r>
    </w:p>
    <w:p>
      <w:r>
        <w:rPr>
          <w:sz w:val="22"/>
        </w:rPr>
      </w:r>
      <w:r>
        <w:rPr>
          <w:b/>
          <w:sz w:val="22"/>
        </w:rPr>
        <w:t>Status</w:t>
      </w:r>
      <w:r>
        <w:rPr>
          <w:sz w:val="22"/>
        </w:rPr>
        <w:t>: Legacy — empty array.</w:t>
      </w:r>
    </w:p>
    <w:p>
      <w:r>
        <w:rPr>
          <w:sz w:val="22"/>
        </w:rPr>
      </w:r>
      <w:r>
        <w:rPr>
          <w:b/>
          <w:sz w:val="22"/>
        </w:rPr>
        <w:t>What it contains</w:t>
      </w:r>
      <w:r>
        <w:rPr>
          <w:sz w:val="22"/>
        </w:rPr>
        <w:t>:</w:t>
      </w:r>
    </w:p>
    <w:p>
      <w:pPr>
        <w:spacing w:before="80" w:after="80"/>
        <w:ind w:left="432"/>
        <w:shd w:val="clear" w:color="auto" w:fill="F0F0F0"/>
      </w:pPr>
      <w:r>
        <w:rPr>
          <w:rFonts w:ascii="Courier New" w:hAnsi="Courier New"/>
          <w:sz w:val="17"/>
        </w:rPr>
        <w:t>import type { Blog } from './types';</w:t>
        <w:br/>
        <w:t>export const sampleBlogs: Blog[] = [];</w:t>
      </w:r>
    </w:p>
    <w:p>
      <w:r>
        <w:rPr>
          <w:sz w:val="22"/>
        </w:rPr>
      </w:r>
      <w:r>
        <w:rPr>
          <w:b/>
          <w:sz w:val="22"/>
        </w:rPr>
        <w:t>Why it is unused</w:t>
      </w:r>
      <w:r>
        <w:rPr>
          <w:sz w:val="22"/>
        </w:rPr>
        <w:t>: The array is empty and not imported anywhere in the active Next.js app. It was scaffolded during early prototyping and never populated or used.</w:t>
      </w:r>
    </w:p>
    <w:p>
      <w:r>
        <w:rPr>
          <w:sz w:val="22"/>
        </w:rPr>
      </w:r>
      <w:r>
        <w:rPr>
          <w:b/>
          <w:sz w:val="22"/>
        </w:rPr>
        <w:t>Risk of deletion</w:t>
      </w:r>
      <w:r>
        <w:rPr>
          <w:sz w:val="22"/>
        </w:rPr>
        <w:t>: None. The file contains no data and is not imported anywhere.</w:t>
      </w:r>
    </w:p>
    <w:p/>
    <w:p>
      <w:pPr>
        <w:pStyle w:val="Heading2"/>
      </w:pPr>
      <w:r>
        <w:rPr>
          <w:color w:val="1E40AF"/>
          <w:sz w:val="30"/>
        </w:rPr>
        <w:t>Category 3: Generated Files Tracked in Git</w:t>
      </w:r>
    </w:p>
    <w:p>
      <w:pPr>
        <w:pStyle w:val="Heading3"/>
      </w:pPr>
      <w:r>
        <w:rPr>
          <w:color w:val="1D4E89"/>
          <w:sz w:val="26"/>
        </w:rPr>
        <w:t>`tsconfig.tsbuildinfo`</w:t>
      </w:r>
    </w:p>
    <w:p>
      <w:r>
        <w:rPr>
          <w:sz w:val="22"/>
        </w:rPr>
      </w:r>
      <w:r>
        <w:rPr>
          <w:b/>
          <w:sz w:val="22"/>
        </w:rPr>
        <w:t>Status</w:t>
      </w:r>
      <w:r>
        <w:rPr>
          <w:sz w:val="22"/>
        </w:rPr>
        <w:t>: Generated — should be gitignored.</w:t>
      </w:r>
    </w:p>
    <w:p>
      <w:r>
        <w:rPr>
          <w:sz w:val="22"/>
        </w:rPr>
      </w:r>
      <w:r>
        <w:rPr>
          <w:b/>
          <w:sz w:val="22"/>
        </w:rPr>
        <w:t>What it is</w:t>
      </w:r>
      <w:r>
        <w:rPr>
          <w:sz w:val="22"/>
        </w:rPr>
        <w:t xml:space="preserve">: TypeScript's incremental compilation cache. Generated automatically by </w:t>
      </w:r>
      <w:r>
        <w:rPr>
          <w:rFonts w:ascii="Courier New" w:hAnsi="Courier New"/>
          <w:sz w:val="20"/>
        </w:rPr>
        <w:t>tsc</w:t>
      </w:r>
      <w:r>
        <w:rPr>
          <w:sz w:val="22"/>
        </w:rPr>
        <w:t>. It stores the state of the previous TypeScript build to speed up subsequent checks.</w:t>
      </w:r>
    </w:p>
    <w:p>
      <w:r>
        <w:rPr>
          <w:sz w:val="22"/>
        </w:rPr>
      </w:r>
      <w:r>
        <w:rPr>
          <w:b/>
          <w:sz w:val="22"/>
        </w:rPr>
        <w:t>Why it should not be in git</w:t>
      </w:r>
      <w:r>
        <w:rPr>
          <w:sz w:val="22"/>
        </w:rPr>
        <w:t>: The file is 300 KB, changes on every TypeScript run, and has no value in version history. It can cause conflicts between developers and CI environments. The standard practice is to gitignore it.</w:t>
      </w:r>
    </w:p>
    <w:p>
      <w:r>
        <w:rPr>
          <w:sz w:val="22"/>
        </w:rPr>
      </w:r>
      <w:r>
        <w:rPr>
          <w:b/>
          <w:sz w:val="22"/>
        </w:rPr>
        <w:t>Current `.gitignore` state</w:t>
      </w:r>
      <w:r>
        <w:rPr>
          <w:sz w:val="22"/>
        </w:rPr>
        <w:t xml:space="preserve">: </w:t>
      </w:r>
      <w:r>
        <w:rPr>
          <w:rFonts w:ascii="Courier New" w:hAnsi="Courier New"/>
          <w:sz w:val="20"/>
        </w:rPr>
        <w:t>tsconfig.tsbuildinfo</w:t>
      </w:r>
      <w:r>
        <w:rPr>
          <w:sz w:val="22"/>
        </w:rPr>
        <w:t xml:space="preserve"> is NOT currently listed in </w:t>
      </w:r>
      <w:r>
        <w:rPr>
          <w:rFonts w:ascii="Courier New" w:hAnsi="Courier New"/>
          <w:sz w:val="20"/>
        </w:rPr>
        <w:t>.gitignore</w:t>
      </w:r>
      <w:r>
        <w:rPr>
          <w:sz w:val="22"/>
        </w:rPr>
        <w:t>.</w:t>
      </w:r>
    </w:p>
    <w:p>
      <w:r>
        <w:rPr>
          <w:sz w:val="22"/>
        </w:rPr>
      </w:r>
      <w:r>
        <w:rPr>
          <w:b/>
          <w:sz w:val="22"/>
        </w:rPr>
        <w:t>Risk of removal</w:t>
      </w:r>
      <w:r>
        <w:rPr>
          <w:sz w:val="22"/>
        </w:rPr>
        <w:t>: None. It regenerates automatically on the next TypeScript run.</w:t>
      </w:r>
    </w:p>
    <w:p/>
    <w:p>
      <w:pPr>
        <w:pStyle w:val="Heading2"/>
      </w:pPr>
      <w:r>
        <w:rPr>
          <w:color w:val="1E40AF"/>
          <w:sz w:val="30"/>
        </w:rPr>
        <w:t>Category 4: Misnamed Files</w:t>
      </w:r>
    </w:p>
    <w:p>
      <w:pPr>
        <w:pStyle w:val="Heading3"/>
      </w:pPr>
      <w:r>
        <w:rPr>
          <w:color w:val="1D4E89"/>
          <w:sz w:val="26"/>
        </w:rPr>
        <w:t>`proxy.ts`</w:t>
      </w:r>
    </w:p>
    <w:p>
      <w:r>
        <w:rPr>
          <w:sz w:val="22"/>
        </w:rPr>
      </w:r>
      <w:r>
        <w:rPr>
          <w:b/>
          <w:sz w:val="22"/>
        </w:rPr>
        <w:t>Status</w:t>
      </w:r>
      <w:r>
        <w:rPr>
          <w:sz w:val="22"/>
        </w:rPr>
        <w:t>: Misnamed — dormant.</w:t>
      </w:r>
    </w:p>
    <w:p>
      <w:r>
        <w:rPr>
          <w:sz w:val="22"/>
        </w:rPr>
      </w:r>
      <w:r>
        <w:rPr>
          <w:b/>
          <w:sz w:val="22"/>
        </w:rPr>
        <w:t>What it contains</w:t>
      </w:r>
      <w:r>
        <w:rPr>
          <w:sz w:val="22"/>
        </w:rPr>
        <w:t xml:space="preserve">: Exports a </w:t>
      </w:r>
      <w:r>
        <w:rPr>
          <w:rFonts w:ascii="Courier New" w:hAnsi="Courier New"/>
          <w:sz w:val="20"/>
        </w:rPr>
        <w:t>proxy</w:t>
      </w:r>
      <w:r>
        <w:rPr>
          <w:sz w:val="22"/>
        </w:rPr>
        <w:t xml:space="preserve"> function (and possibly middleware-style logic) written in TypeScript.</w:t>
      </w:r>
    </w:p>
    <w:p>
      <w:r>
        <w:rPr>
          <w:sz w:val="22"/>
        </w:rPr>
      </w:r>
      <w:r>
        <w:rPr>
          <w:b/>
          <w:sz w:val="22"/>
        </w:rPr>
        <w:t>Why it does not work as intended</w:t>
      </w:r>
      <w:r>
        <w:rPr>
          <w:sz w:val="22"/>
        </w:rPr>
        <w:t xml:space="preserve">: Next.js edge middleware must be in a file named exactly </w:t>
      </w:r>
      <w:r>
        <w:rPr>
          <w:rFonts w:ascii="Courier New" w:hAnsi="Courier New"/>
          <w:sz w:val="20"/>
        </w:rPr>
        <w:t>middleware.ts</w:t>
      </w:r>
      <w:r>
        <w:rPr>
          <w:sz w:val="22"/>
        </w:rPr>
        <w:t xml:space="preserve"> (or </w:t>
      </w:r>
      <w:r>
        <w:rPr>
          <w:rFonts w:ascii="Courier New" w:hAnsi="Courier New"/>
          <w:sz w:val="20"/>
        </w:rPr>
        <w:t>middleware.js</w:t>
      </w:r>
      <w:r>
        <w:rPr>
          <w:sz w:val="22"/>
        </w:rPr>
        <w:t xml:space="preserve">) at the project root to be automatically picked up by the framework. A file named </w:t>
      </w:r>
      <w:r>
        <w:rPr>
          <w:rFonts w:ascii="Courier New" w:hAnsi="Courier New"/>
          <w:sz w:val="20"/>
        </w:rPr>
        <w:t>proxy.ts</w:t>
      </w:r>
      <w:r>
        <w:rPr>
          <w:sz w:val="22"/>
        </w:rPr>
        <w:t xml:space="preserve"> is never invoked by Next.js automatically. The code inside it currently has no effect on any requests.</w:t>
      </w:r>
    </w:p>
    <w:p>
      <w:r>
        <w:rPr>
          <w:sz w:val="22"/>
        </w:rPr>
      </w:r>
      <w:r>
        <w:rPr>
          <w:b/>
          <w:sz w:val="22"/>
        </w:rPr>
        <w:t>Options</w:t>
      </w:r>
      <w:r>
        <w:rPr>
          <w:sz w:val="22"/>
        </w:rPr>
        <w:t>:</w:t>
      </w:r>
    </w:p>
    <w:p>
      <w:pPr>
        <w:pStyle w:val="ListNumber"/>
      </w:pPr>
      <w:r>
        <w:rPr>
          <w:sz w:val="22"/>
        </w:rPr>
        <w:t xml:space="preserve">Rename to </w:t>
      </w:r>
      <w:r>
        <w:rPr>
          <w:rFonts w:ascii="Courier New" w:hAnsi="Courier New"/>
          <w:sz w:val="22"/>
        </w:rPr>
        <w:t>middleware.ts</w:t>
      </w:r>
      <w:r>
        <w:rPr>
          <w:sz w:val="22"/>
        </w:rPr>
        <w:t xml:space="preserve"> and verify the exported function matches the Next.js </w:t>
      </w:r>
      <w:r>
        <w:rPr>
          <w:rFonts w:ascii="Courier New" w:hAnsi="Courier New"/>
          <w:sz w:val="22"/>
        </w:rPr>
        <w:t>middleware</w:t>
      </w:r>
      <w:r>
        <w:rPr>
          <w:sz w:val="22"/>
        </w:rPr>
        <w:t xml:space="preserve"> export signature (</w:t>
      </w:r>
      <w:r>
        <w:rPr>
          <w:rFonts w:ascii="Courier New" w:hAnsi="Courier New"/>
          <w:sz w:val="22"/>
        </w:rPr>
        <w:t>export function middleware(request: NextRequest) { ... }</w:t>
      </w:r>
      <w:r>
        <w:rPr>
          <w:sz w:val="22"/>
        </w:rPr>
        <w:t>).</w:t>
      </w:r>
    </w:p>
    <w:p>
      <w:pPr>
        <w:pStyle w:val="ListNumber"/>
      </w:pPr>
      <w:r>
        <w:rPr>
          <w:sz w:val="22"/>
        </w:rPr>
        <w:t>Delete the file if the middleware functionality is not needed or has been replaced.</w:t>
      </w:r>
    </w:p>
    <w:p>
      <w:r>
        <w:rPr>
          <w:sz w:val="22"/>
        </w:rPr>
      </w:r>
      <w:r>
        <w:rPr>
          <w:b/>
          <w:sz w:val="22"/>
        </w:rPr>
        <w:t>Risk</w:t>
      </w:r>
      <w:r>
        <w:rPr>
          <w:sz w:val="22"/>
        </w:rPr>
        <w:t>: Do not rename without reviewing the file's contents first to confirm it is correct Next.js middleware code. The rename itself will immediately activate the middleware on all requests.</w:t>
      </w:r>
    </w:p>
    <w:p/>
    <w:p>
      <w:pPr>
        <w:pStyle w:val="Heading2"/>
      </w:pPr>
      <w:r>
        <w:rPr>
          <w:color w:val="1E40AF"/>
          <w:sz w:val="30"/>
        </w:rPr>
        <w:t>Category 5: Empty Directories</w:t>
      </w:r>
    </w:p>
    <w:p>
      <w:pPr>
        <w:pStyle w:val="Heading3"/>
      </w:pPr>
      <w:r>
        <w:rPr>
          <w:color w:val="1D4E89"/>
          <w:sz w:val="26"/>
        </w:rPr>
        <w:t>`scratch/`</w:t>
      </w:r>
    </w:p>
    <w:p>
      <w:r>
        <w:rPr>
          <w:sz w:val="22"/>
        </w:rPr>
      </w:r>
      <w:r>
        <w:rPr>
          <w:b/>
          <w:sz w:val="22"/>
        </w:rPr>
        <w:t>Status</w:t>
      </w:r>
      <w:r>
        <w:rPr>
          <w:sz w:val="22"/>
        </w:rPr>
        <w:t>: Empty directory.</w:t>
      </w:r>
    </w:p>
    <w:p>
      <w:r>
        <w:rPr>
          <w:sz w:val="22"/>
        </w:rPr>
      </w:r>
      <w:r>
        <w:rPr>
          <w:b/>
          <w:sz w:val="22"/>
        </w:rPr>
        <w:t>What it was</w:t>
      </w:r>
      <w:r>
        <w:rPr>
          <w:sz w:val="22"/>
        </w:rPr>
        <w:t>: A scratch directory for temporary working files.</w:t>
      </w:r>
    </w:p>
    <w:p>
      <w:r>
        <w:rPr>
          <w:sz w:val="22"/>
        </w:rPr>
      </w:r>
      <w:r>
        <w:rPr>
          <w:b/>
          <w:sz w:val="22"/>
        </w:rPr>
        <w:t>Current state</w:t>
      </w:r>
      <w:r>
        <w:rPr>
          <w:sz w:val="22"/>
        </w:rPr>
        <w:t xml:space="preserve">: No files. The directory itself is committed to git (git tracks directories via a </w:t>
      </w:r>
      <w:r>
        <w:rPr>
          <w:rFonts w:ascii="Courier New" w:hAnsi="Courier New"/>
          <w:sz w:val="20"/>
        </w:rPr>
        <w:t>.gitkeep</w:t>
      </w:r>
      <w:r>
        <w:rPr>
          <w:sz w:val="22"/>
        </w:rPr>
        <w:t xml:space="preserve"> or indirectly via contained files, but this directory appears empty).</w:t>
      </w:r>
    </w:p>
    <w:p>
      <w:r>
        <w:rPr>
          <w:sz w:val="22"/>
        </w:rPr>
      </w:r>
      <w:r>
        <w:rPr>
          <w:b/>
          <w:sz w:val="22"/>
        </w:rPr>
        <w:t>Risk of removal</w:t>
      </w:r>
      <w:r>
        <w:rPr>
          <w:sz w:val="22"/>
        </w:rPr>
        <w:t>: None. It can be deleted or gitignored.</w:t>
      </w:r>
    </w:p>
    <w:p/>
    <w:p>
      <w:pPr>
        <w:pStyle w:val="Heading2"/>
      </w:pPr>
      <w:r>
        <w:rPr>
          <w:color w:val="1E40AF"/>
          <w:sz w:val="30"/>
        </w:rPr>
        <w:t>Category 6: Untracked Binary Files</w:t>
      </w:r>
    </w:p>
    <w:p>
      <w:pPr>
        <w:pStyle w:val="Heading3"/>
      </w:pPr>
      <w:r>
        <w:rPr>
          <w:color w:val="1D4E89"/>
          <w:sz w:val="26"/>
        </w:rPr>
        <w:t>`Estabizz_Project_Documentation.docx`</w:t>
      </w:r>
    </w:p>
    <w:p>
      <w:r>
        <w:rPr>
          <w:sz w:val="22"/>
        </w:rPr>
      </w:r>
      <w:r>
        <w:rPr>
          <w:b/>
          <w:sz w:val="22"/>
        </w:rPr>
        <w:t>Status</w:t>
      </w:r>
      <w:r>
        <w:rPr>
          <w:sz w:val="22"/>
        </w:rPr>
        <w:t>: Untracked — not committed to git.</w:t>
      </w:r>
    </w:p>
    <w:p>
      <w:r>
        <w:rPr>
          <w:sz w:val="22"/>
        </w:rPr>
      </w:r>
      <w:r>
        <w:rPr>
          <w:b/>
          <w:sz w:val="22"/>
        </w:rPr>
        <w:t>What it is</w:t>
      </w:r>
      <w:r>
        <w:rPr>
          <w:sz w:val="22"/>
        </w:rPr>
        <w:t>: A compiled Word document containing all 10 canonical documentation files, generated via python-docx for sharing with external AI agents (ChatGPT, etc.).</w:t>
      </w:r>
    </w:p>
    <w:p>
      <w:r>
        <w:rPr>
          <w:sz w:val="22"/>
        </w:rPr>
      </w:r>
      <w:r>
        <w:rPr>
          <w:b/>
          <w:sz w:val="22"/>
        </w:rPr>
        <w:t>Recommendation</w:t>
      </w:r>
      <w:r>
        <w:rPr>
          <w:sz w:val="22"/>
        </w:rPr>
        <w:t xml:space="preserve">: Add </w:t>
      </w:r>
      <w:r>
        <w:rPr>
          <w:rFonts w:ascii="Courier New" w:hAnsi="Courier New"/>
          <w:sz w:val="20"/>
        </w:rPr>
        <w:t>*.docx</w:t>
      </w:r>
      <w:r>
        <w:rPr>
          <w:sz w:val="22"/>
        </w:rPr>
        <w:t xml:space="preserve"> or specifically </w:t>
      </w:r>
      <w:r>
        <w:rPr>
          <w:rFonts w:ascii="Courier New" w:hAnsi="Courier New"/>
          <w:sz w:val="20"/>
        </w:rPr>
        <w:t>Estabizz_Project_Documentation.docx</w:t>
      </w:r>
      <w:r>
        <w:rPr>
          <w:sz w:val="22"/>
        </w:rPr>
        <w:t xml:space="preserve"> to </w:t>
      </w:r>
      <w:r>
        <w:rPr>
          <w:rFonts w:ascii="Courier New" w:hAnsi="Courier New"/>
          <w:sz w:val="20"/>
        </w:rPr>
        <w:t>.gitignore</w:t>
      </w:r>
      <w:r>
        <w:rPr>
          <w:sz w:val="22"/>
        </w:rPr>
        <w:t>. The file can always be regenerated from the markdown source files.</w:t>
      </w:r>
    </w:p>
    <w:p/>
    <w:p>
      <w:pPr>
        <w:pStyle w:val="Heading2"/>
      </w:pPr>
      <w:r>
        <w:rPr>
          <w:color w:val="1E40AF"/>
          <w:sz w:val="30"/>
        </w:rPr>
        <w:t>Category 7: Placeholder Admin UI Pages</w:t>
      </w:r>
    </w:p>
    <w:p>
      <w:r>
        <w:rPr>
          <w:sz w:val="22"/>
        </w:rPr>
        <w:t>These pages have a UI shell but no backend implementation. They are part of the Admin OS and show a placeholder screen to logged-in admins.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Status</w:t>
            </w:r>
          </w:p>
        </w:tc>
        <w:tc>
          <w:tcPr>
            <w:tcW w:type="dxa" w:w="2880"/>
          </w:tcPr>
          <w:p>
            <w:r>
              <w:rPr>
                <w:b/>
                <w:sz w:val="19"/>
              </w:rPr>
              <w:t>What is missing</w:t>
            </w:r>
          </w:p>
        </w:tc>
      </w:tr>
      <w:tr>
        <w:tc>
          <w:tcPr>
            <w:tcW w:type="dxa" w:w="2880"/>
          </w:tcPr>
          <w:p>
            <w:r>
              <w:rPr>
                <w:sz w:val="19"/>
              </w:rPr>
            </w:r>
            <w:r>
              <w:rPr>
                <w:rFonts w:ascii="Courier New" w:hAnsi="Courier New"/>
                <w:sz w:val="20"/>
              </w:rPr>
              <w:t>app/admin/authors/page.tsx</w:t>
            </w:r>
            <w:r>
              <w:rPr>
                <w:sz w:val="22"/>
              </w:rPr>
            </w:r>
          </w:p>
        </w:tc>
        <w:tc>
          <w:tcPr>
            <w:tcW w:type="dxa" w:w="2880"/>
          </w:tcPr>
          <w:p>
            <w:r>
              <w:rPr>
                <w:sz w:val="19"/>
              </w:rPr>
              <w:t>Placeholder</w:t>
            </w:r>
          </w:p>
        </w:tc>
        <w:tc>
          <w:tcPr>
            <w:tcW w:type="dxa" w:w="2880"/>
          </w:tcPr>
          <w:p>
            <w:r>
              <w:rPr>
                <w:sz w:val="19"/>
              </w:rPr>
              <w:t>No Author model, no API routes, no CRUD</w:t>
            </w:r>
          </w:p>
        </w:tc>
      </w:tr>
      <w:tr>
        <w:tc>
          <w:tcPr>
            <w:tcW w:type="dxa" w:w="2880"/>
          </w:tcPr>
          <w:p>
            <w:r>
              <w:rPr>
                <w:sz w:val="19"/>
              </w:rPr>
            </w:r>
            <w:r>
              <w:rPr>
                <w:rFonts w:ascii="Courier New" w:hAnsi="Courier New"/>
                <w:sz w:val="20"/>
              </w:rPr>
              <w:t>app/admin/categories/page.tsx</w:t>
            </w:r>
            <w:r>
              <w:rPr>
                <w:sz w:val="22"/>
              </w:rPr>
            </w:r>
          </w:p>
        </w:tc>
        <w:tc>
          <w:tcPr>
            <w:tcW w:type="dxa" w:w="2880"/>
          </w:tcPr>
          <w:p>
            <w:r>
              <w:rPr>
                <w:sz w:val="19"/>
              </w:rPr>
              <w:t>Placeholder</w:t>
            </w:r>
          </w:p>
        </w:tc>
        <w:tc>
          <w:tcPr>
            <w:tcW w:type="dxa" w:w="2880"/>
          </w:tcPr>
          <w:p>
            <w:r>
              <w:rPr>
                <w:sz w:val="19"/>
              </w:rPr>
              <w:t xml:space="preserve">Categories are hardcoded in </w:t>
            </w:r>
            <w:r>
              <w:rPr>
                <w:rFonts w:ascii="Courier New" w:hAnsi="Courier New"/>
                <w:sz w:val="20"/>
              </w:rPr>
              <w:t>lib/blog/categories.ts</w:t>
            </w:r>
            <w:r>
              <w:rPr>
                <w:sz w:val="22"/>
              </w:rPr>
              <w:t xml:space="preserve"> — no admin CRUD (TD-003)</w:t>
            </w:r>
          </w:p>
        </w:tc>
      </w:tr>
      <w:tr>
        <w:tc>
          <w:tcPr>
            <w:tcW w:type="dxa" w:w="2880"/>
          </w:tcPr>
          <w:p>
            <w:r>
              <w:rPr>
                <w:sz w:val="19"/>
              </w:rPr>
            </w:r>
            <w:r>
              <w:rPr>
                <w:rFonts w:ascii="Courier New" w:hAnsi="Courier New"/>
                <w:sz w:val="20"/>
              </w:rPr>
              <w:t>app/admin/settings/page.tsx</w:t>
            </w:r>
            <w:r>
              <w:rPr>
                <w:sz w:val="22"/>
              </w:rPr>
            </w:r>
          </w:p>
        </w:tc>
        <w:tc>
          <w:tcPr>
            <w:tcW w:type="dxa" w:w="2880"/>
          </w:tcPr>
          <w:p>
            <w:r>
              <w:rPr>
                <w:sz w:val="19"/>
              </w:rPr>
              <w:t>Placeholder</w:t>
            </w:r>
          </w:p>
        </w:tc>
        <w:tc>
          <w:tcPr>
            <w:tcW w:type="dxa" w:w="2880"/>
          </w:tcPr>
          <w:p>
            <w:r>
              <w:rPr>
                <w:sz w:val="19"/>
              </w:rPr>
              <w:t>No settings model, no API routes</w:t>
            </w:r>
          </w:p>
        </w:tc>
      </w:tr>
      <w:tr>
        <w:tc>
          <w:tcPr>
            <w:tcW w:type="dxa" w:w="2880"/>
          </w:tcPr>
          <w:p>
            <w:r>
              <w:rPr>
                <w:sz w:val="19"/>
              </w:rPr>
            </w:r>
            <w:r>
              <w:rPr>
                <w:rFonts w:ascii="Courier New" w:hAnsi="Courier New"/>
                <w:sz w:val="20"/>
              </w:rPr>
              <w:t>app/admin/content-pages/[slug]/edit/page.tsx</w:t>
            </w:r>
            <w:r>
              <w:rPr>
                <w:sz w:val="22"/>
              </w:rPr>
            </w:r>
          </w:p>
        </w:tc>
        <w:tc>
          <w:tcPr>
            <w:tcW w:type="dxa" w:w="2880"/>
          </w:tcPr>
          <w:p>
            <w:r>
              <w:rPr>
                <w:sz w:val="19"/>
              </w:rPr>
              <w:t>Placeholder (generic)</w:t>
            </w:r>
          </w:p>
        </w:tc>
        <w:tc>
          <w:tcPr>
            <w:tcW w:type="dxa" w:w="2880"/>
          </w:tcPr>
          <w:p>
            <w:r>
              <w:rPr>
                <w:sz w:val="19"/>
              </w:rPr>
              <w:t xml:space="preserve">Only </w:t>
            </w:r>
            <w:r>
              <w:rPr>
                <w:rFonts w:ascii="Courier New" w:hAnsi="Courier New"/>
                <w:sz w:val="20"/>
              </w:rPr>
              <w:t>nbfc-registration-in-india</w:t>
            </w:r>
            <w:r>
              <w:rPr>
                <w:sz w:val="22"/>
              </w:rPr>
              <w:t xml:space="preserve"> has a full editor; all other slugs hit this stub</w:t>
            </w:r>
          </w:p>
        </w:tc>
      </w:tr>
    </w:tbl>
    <w:p/>
    <w:p>
      <w:r>
        <w:rPr>
          <w:sz w:val="22"/>
        </w:rPr>
        <w:t>These are not candidates for deletion — they are intentional stubs for features planned in the roadmap.</w:t>
      </w:r>
    </w:p>
    <w:p/>
    <w:p>
      <w:pPr>
        <w:pStyle w:val="Heading2"/>
      </w:pPr>
      <w:r>
        <w:rPr>
          <w:color w:val="1E40AF"/>
          <w:sz w:val="30"/>
        </w:rPr>
        <w:t>Category 8: Legacy Hardcoded Article Pages</w:t>
      </w:r>
    </w:p>
    <w:p>
      <w:r>
        <w:rPr>
          <w:sz w:val="22"/>
        </w:rPr>
        <w:t xml:space="preserve">The </w:t>
      </w:r>
      <w:r>
        <w:rPr>
          <w:rFonts w:ascii="Courier New" w:hAnsi="Courier New"/>
          <w:sz w:val="20"/>
        </w:rPr>
        <w:t>app/regulatory/</w:t>
      </w:r>
      <w:r>
        <w:rPr>
          <w:sz w:val="22"/>
        </w:rPr>
        <w:t xml:space="preserve"> section contains 3 article-style pages with hardcoded content. These predate the CMS and have not been migrated into the MongoDB-backed CMS 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Route</w:t>
            </w:r>
          </w:p>
        </w:tc>
        <w:tc>
          <w:tcPr>
            <w:tcW w:type="dxa" w:w="2880"/>
          </w:tcPr>
          <w:p>
            <w:r>
              <w:rPr>
                <w:b/>
                <w:sz w:val="19"/>
              </w:rPr>
              <w:t>Status</w:t>
            </w:r>
          </w:p>
        </w:tc>
        <w:tc>
          <w:tcPr>
            <w:tcW w:type="dxa" w:w="2880"/>
          </w:tcPr>
          <w:p>
            <w:r>
              <w:rPr>
                <w:b/>
                <w:sz w:val="19"/>
              </w:rPr>
              <w:t>Notes</w:t>
            </w:r>
          </w:p>
        </w:tc>
      </w:tr>
      <w:tr>
        <w:tc>
          <w:tcPr>
            <w:tcW w:type="dxa" w:w="2880"/>
          </w:tcPr>
          <w:p>
            <w:r>
              <w:rPr>
                <w:sz w:val="19"/>
              </w:rPr>
            </w:r>
            <w:r>
              <w:rPr>
                <w:rFonts w:ascii="Courier New" w:hAnsi="Courier New"/>
                <w:sz w:val="20"/>
              </w:rPr>
              <w:t>/regulatory/finance-company-gift-ifsc</w:t>
            </w:r>
            <w:r>
              <w:rPr>
                <w:sz w:val="22"/>
              </w:rPr>
            </w:r>
          </w:p>
        </w:tc>
        <w:tc>
          <w:tcPr>
            <w:tcW w:type="dxa" w:w="2880"/>
          </w:tcPr>
          <w:p>
            <w:r>
              <w:rPr>
                <w:sz w:val="19"/>
              </w:rPr>
              <w:t>Legacy article</w:t>
            </w:r>
          </w:p>
        </w:tc>
        <w:tc>
          <w:tcPr>
            <w:tcW w:type="dxa" w:w="2880"/>
          </w:tcPr>
          <w:p>
            <w:r>
              <w:rPr>
                <w:sz w:val="19"/>
              </w:rPr>
              <w:t>Live; hardcoded content</w:t>
            </w:r>
          </w:p>
        </w:tc>
      </w:tr>
      <w:tr>
        <w:tc>
          <w:tcPr>
            <w:tcW w:type="dxa" w:w="2880"/>
          </w:tcPr>
          <w:p>
            <w:r>
              <w:rPr>
                <w:sz w:val="19"/>
              </w:rPr>
            </w:r>
            <w:r>
              <w:rPr>
                <w:rFonts w:ascii="Courier New" w:hAnsi="Courier New"/>
                <w:sz w:val="20"/>
              </w:rPr>
              <w:t>/regulatory/ifsca-factoring-license-gift-city</w:t>
            </w:r>
            <w:r>
              <w:rPr>
                <w:sz w:val="22"/>
              </w:rPr>
            </w:r>
          </w:p>
        </w:tc>
        <w:tc>
          <w:tcPr>
            <w:tcW w:type="dxa" w:w="2880"/>
          </w:tcPr>
          <w:p>
            <w:r>
              <w:rPr>
                <w:sz w:val="19"/>
              </w:rPr>
              <w:t>Legacy article</w:t>
            </w:r>
          </w:p>
        </w:tc>
        <w:tc>
          <w:tcPr>
            <w:tcW w:type="dxa" w:w="2880"/>
          </w:tcPr>
          <w:p>
            <w:r>
              <w:rPr>
                <w:sz w:val="19"/>
              </w:rPr>
              <w:t>Live; hardcoded content</w:t>
            </w:r>
          </w:p>
        </w:tc>
      </w:tr>
      <w:tr>
        <w:tc>
          <w:tcPr>
            <w:tcW w:type="dxa" w:w="2880"/>
          </w:tcPr>
          <w:p>
            <w:r>
              <w:rPr>
                <w:sz w:val="19"/>
              </w:rPr>
            </w:r>
            <w:r>
              <w:rPr>
                <w:rFonts w:ascii="Courier New" w:hAnsi="Courier New"/>
                <w:sz w:val="20"/>
              </w:rPr>
              <w:t>/regulatory/page.tsx</w:t>
            </w:r>
            <w:r>
              <w:rPr>
                <w:sz w:val="22"/>
              </w:rPr>
            </w:r>
          </w:p>
        </w:tc>
        <w:tc>
          <w:tcPr>
            <w:tcW w:type="dxa" w:w="2880"/>
          </w:tcPr>
          <w:p>
            <w:r>
              <w:rPr>
                <w:sz w:val="19"/>
              </w:rPr>
              <w:t>Legacy hub</w:t>
            </w:r>
          </w:p>
        </w:tc>
        <w:tc>
          <w:tcPr>
            <w:tcW w:type="dxa" w:w="2880"/>
          </w:tcPr>
          <w:p>
            <w:r>
              <w:rPr>
                <w:sz w:val="19"/>
              </w:rPr>
              <w:t>Lists the above two articles</w:t>
            </w:r>
          </w:p>
        </w:tc>
      </w:tr>
    </w:tbl>
    <w:p/>
    <w:p>
      <w:r>
        <w:rPr>
          <w:sz w:val="22"/>
        </w:rPr>
        <w:t>These are not unused — they are live pages indexed by search engines. They need to be migrated into the CMS (or replaced with CMS-managed IFSCA pages) before they can be removed.</w:t>
      </w:r>
    </w:p>
    <w:p/>
    <w:p>
      <w:pPr>
        <w:pStyle w:val="Heading2"/>
      </w:pPr>
      <w:r>
        <w:rPr>
          <w:color w:val="1E40AF"/>
          <w:sz w:val="30"/>
        </w:rPr>
        <w:t>Category 9: Internal Pages Without Auth Guards</w:t>
      </w:r>
    </w:p>
    <w:p>
      <w:r>
        <w:rPr>
          <w:sz w:val="22"/>
        </w:rPr>
        <w:t>These pages are active and publicly accessible but appear intended for internal use only. They are not security vulnerabilities in themselves, but they expose internal workflows to the public internet.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Route</w:t>
            </w:r>
          </w:p>
        </w:tc>
        <w:tc>
          <w:tcPr>
            <w:tcW w:type="dxa" w:w="2880"/>
          </w:tcPr>
          <w:p>
            <w:r>
              <w:rPr>
                <w:b/>
                <w:sz w:val="19"/>
              </w:rPr>
              <w:t>Purpose</w:t>
            </w:r>
          </w:p>
        </w:tc>
        <w:tc>
          <w:tcPr>
            <w:tcW w:type="dxa" w:w="2880"/>
          </w:tcPr>
          <w:p>
            <w:r>
              <w:rPr>
                <w:b/>
                <w:sz w:val="19"/>
              </w:rPr>
              <w:t>Security concern</w:t>
            </w:r>
          </w:p>
        </w:tc>
      </w:tr>
      <w:tr>
        <w:tc>
          <w:tcPr>
            <w:tcW w:type="dxa" w:w="2880"/>
          </w:tcPr>
          <w:p>
            <w:r>
              <w:rPr>
                <w:sz w:val="19"/>
              </w:rPr>
            </w:r>
            <w:r>
              <w:rPr>
                <w:rFonts w:ascii="Courier New" w:hAnsi="Courier New"/>
                <w:sz w:val="20"/>
              </w:rPr>
              <w:t>/resources/content-rebuild-command</w:t>
            </w:r>
            <w:r>
              <w:rPr>
                <w:sz w:val="22"/>
              </w:rPr>
            </w:r>
          </w:p>
        </w:tc>
        <w:tc>
          <w:tcPr>
            <w:tcW w:type="dxa" w:w="2880"/>
          </w:tcPr>
          <w:p>
            <w:r>
              <w:rPr>
                <w:sz w:val="19"/>
              </w:rPr>
              <w:t>Content rebuild trigger UI</w:t>
            </w:r>
          </w:p>
        </w:tc>
        <w:tc>
          <w:tcPr>
            <w:tcW w:type="dxa" w:w="2880"/>
          </w:tcPr>
          <w:p>
            <w:r>
              <w:rPr>
                <w:sz w:val="19"/>
              </w:rPr>
              <w:t>Internal tool — should be behind admin auth</w:t>
            </w:r>
          </w:p>
        </w:tc>
      </w:tr>
      <w:tr>
        <w:tc>
          <w:tcPr>
            <w:tcW w:type="dxa" w:w="2880"/>
          </w:tcPr>
          <w:p>
            <w:r>
              <w:rPr>
                <w:sz w:val="19"/>
              </w:rPr>
            </w:r>
            <w:r>
              <w:rPr>
                <w:rFonts w:ascii="Courier New" w:hAnsi="Courier New"/>
                <w:sz w:val="20"/>
              </w:rPr>
              <w:t>/resources/regulatory-update-email-template</w:t>
            </w:r>
            <w:r>
              <w:rPr>
                <w:sz w:val="22"/>
              </w:rPr>
            </w:r>
          </w:p>
        </w:tc>
        <w:tc>
          <w:tcPr>
            <w:tcW w:type="dxa" w:w="2880"/>
          </w:tcPr>
          <w:p>
            <w:r>
              <w:rPr>
                <w:sz w:val="19"/>
              </w:rPr>
              <w:t>Email template reference</w:t>
            </w:r>
          </w:p>
        </w:tc>
        <w:tc>
          <w:tcPr>
            <w:tcW w:type="dxa" w:w="2880"/>
          </w:tcPr>
          <w:p>
            <w:r>
              <w:rPr>
                <w:sz w:val="19"/>
              </w:rPr>
              <w:t>Internal — should be behind admin auth or removed</w:t>
            </w:r>
          </w:p>
        </w:tc>
      </w:tr>
      <w:tr>
        <w:tc>
          <w:tcPr>
            <w:tcW w:type="dxa" w:w="2880"/>
          </w:tcPr>
          <w:p>
            <w:r>
              <w:rPr>
                <w:sz w:val="19"/>
              </w:rPr>
            </w:r>
            <w:r>
              <w:rPr>
                <w:rFonts w:ascii="Courier New" w:hAnsi="Courier New"/>
                <w:sz w:val="20"/>
              </w:rPr>
              <w:t>/resources/service-page-content-framework</w:t>
            </w:r>
            <w:r>
              <w:rPr>
                <w:sz w:val="22"/>
              </w:rPr>
            </w:r>
          </w:p>
        </w:tc>
        <w:tc>
          <w:tcPr>
            <w:tcW w:type="dxa" w:w="2880"/>
          </w:tcPr>
          <w:p>
            <w:r>
              <w:rPr>
                <w:sz w:val="19"/>
              </w:rPr>
              <w:t>Content writing guide</w:t>
            </w:r>
          </w:p>
        </w:tc>
        <w:tc>
          <w:tcPr>
            <w:tcW w:type="dxa" w:w="2880"/>
          </w:tcPr>
          <w:p>
            <w:r>
              <w:rPr>
                <w:sz w:val="19"/>
              </w:rPr>
              <w:t>Low concern — useful reference; no sensitive data</w:t>
            </w:r>
          </w:p>
        </w:tc>
      </w:tr>
      <w:tr>
        <w:tc>
          <w:tcPr>
            <w:tcW w:type="dxa" w:w="2880"/>
          </w:tcPr>
          <w:p>
            <w:r>
              <w:rPr>
                <w:sz w:val="19"/>
              </w:rPr>
            </w:r>
            <w:r>
              <w:rPr>
                <w:rFonts w:ascii="Courier New" w:hAnsi="Courier New"/>
                <w:sz w:val="20"/>
              </w:rPr>
              <w:t>/proposal-template</w:t>
            </w:r>
            <w:r>
              <w:rPr>
                <w:sz w:val="22"/>
              </w:rPr>
            </w:r>
          </w:p>
        </w:tc>
        <w:tc>
          <w:tcPr>
            <w:tcW w:type="dxa" w:w="2880"/>
          </w:tcPr>
          <w:p>
            <w:r>
              <w:rPr>
                <w:sz w:val="19"/>
              </w:rPr>
              <w:t>Proposal template</w:t>
            </w:r>
          </w:p>
        </w:tc>
        <w:tc>
          <w:tcPr>
            <w:tcW w:type="dxa" w:w="2880"/>
          </w:tcPr>
          <w:p>
            <w:r>
              <w:rPr>
                <w:sz w:val="19"/>
              </w:rPr>
              <w:t>Internal — should be behind admin auth</w:t>
            </w:r>
          </w:p>
        </w:tc>
      </w:tr>
    </w:tbl>
    <w:p/>
    <w:p>
      <w:r>
        <w:rPr>
          <w:sz w:val="22"/>
        </w:rPr>
        <w:t xml:space="preserve">TD-006 in </w:t>
      </w:r>
      <w:r>
        <w:rPr>
          <w:rFonts w:ascii="Courier New" w:hAnsi="Courier New"/>
          <w:sz w:val="20"/>
        </w:rPr>
        <w:t>ESTABIZZ_TECHNICAL_DEBT_REGISTER.md</w:t>
      </w:r>
      <w:r>
        <w:rPr>
          <w:sz w:val="22"/>
        </w:rPr>
        <w:t xml:space="preserve"> documents the most critical of these.</w:t>
      </w:r>
    </w:p>
    <w:p/>
    <w:p>
      <w:pPr>
        <w:pStyle w:val="Heading2"/>
      </w:pPr>
      <w:r>
        <w:rPr>
          <w:color w:val="1E40AF"/>
          <w:sz w:val="30"/>
        </w:rPr>
        <w:t>Files Verified as NOT Duplicate / NOT Unused</w:t>
      </w:r>
    </w:p>
    <w:p>
      <w:r>
        <w:rPr>
          <w:sz w:val="22"/>
        </w:rPr>
        <w:t>The following were investigated and confirmed to have an active purpose: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File</w:t>
            </w:r>
          </w:p>
        </w:tc>
        <w:tc>
          <w:tcPr>
            <w:tcW w:type="dxa" w:w="4320"/>
          </w:tcPr>
          <w:p>
            <w:r>
              <w:rPr>
                <w:b/>
                <w:sz w:val="19"/>
              </w:rPr>
              <w:t>Why it is active</w:t>
            </w:r>
          </w:p>
        </w:tc>
      </w:tr>
      <w:tr>
        <w:tc>
          <w:tcPr>
            <w:tcW w:type="dxa" w:w="4320"/>
          </w:tcPr>
          <w:p>
            <w:r>
              <w:rPr>
                <w:sz w:val="19"/>
              </w:rPr>
            </w:r>
            <w:r>
              <w:rPr>
                <w:rFonts w:ascii="Courier New" w:hAnsi="Courier New"/>
                <w:sz w:val="20"/>
              </w:rPr>
              <w:t>lib/servicePageTemplate.ts</w:t>
            </w:r>
            <w:r>
              <w:rPr>
                <w:sz w:val="22"/>
              </w:rPr>
            </w:r>
          </w:p>
        </w:tc>
        <w:tc>
          <w:tcPr>
            <w:tcW w:type="dxa" w:w="4320"/>
          </w:tcPr>
          <w:p>
            <w:r>
              <w:rPr>
                <w:sz w:val="19"/>
              </w:rPr>
              <w:t>Used as a content reference by developers; intentionally kept as code</w:t>
            </w:r>
          </w:p>
        </w:tc>
      </w:tr>
      <w:tr>
        <w:tc>
          <w:tcPr>
            <w:tcW w:type="dxa" w:w="4320"/>
          </w:tcPr>
          <w:p>
            <w:r>
              <w:rPr>
                <w:sz w:val="19"/>
              </w:rPr>
            </w:r>
            <w:r>
              <w:rPr>
                <w:rFonts w:ascii="Courier New" w:hAnsi="Courier New"/>
                <w:sz w:val="20"/>
              </w:rPr>
              <w:t>lib/publicContent/discovery.mjs</w:t>
            </w:r>
            <w:r>
              <w:rPr>
                <w:sz w:val="22"/>
              </w:rPr>
            </w:r>
          </w:p>
        </w:tc>
        <w:tc>
          <w:tcPr>
            <w:tcW w:type="dxa" w:w="4320"/>
          </w:tcPr>
          <w:p>
            <w:r>
              <w:rPr>
                <w:sz w:val="19"/>
              </w:rPr>
              <w:t xml:space="preserve">Used by </w:t>
            </w:r>
            <w:r>
              <w:rPr>
                <w:rFonts w:ascii="Courier New" w:hAnsi="Courier New"/>
                <w:sz w:val="20"/>
              </w:rPr>
              <w:t>scripts/importExistingPublicContentPages.mjs</w:t>
            </w:r>
            <w:r>
              <w:rPr>
                <w:sz w:val="22"/>
              </w:rPr>
            </w:r>
          </w:p>
        </w:tc>
      </w:tr>
      <w:tr>
        <w:tc>
          <w:tcPr>
            <w:tcW w:type="dxa" w:w="4320"/>
          </w:tcPr>
          <w:p>
            <w:r>
              <w:rPr>
                <w:sz w:val="19"/>
              </w:rPr>
            </w:r>
            <w:r>
              <w:rPr>
                <w:rFonts w:ascii="Courier New" w:hAnsi="Courier New"/>
                <w:sz w:val="20"/>
              </w:rPr>
              <w:t>lib/faqEngine.ts</w:t>
            </w:r>
            <w:r>
              <w:rPr>
                <w:sz w:val="22"/>
              </w:rPr>
            </w:r>
          </w:p>
        </w:tc>
        <w:tc>
          <w:tcPr>
            <w:tcW w:type="dxa" w:w="4320"/>
          </w:tcPr>
          <w:p>
            <w:r>
              <w:rPr>
                <w:sz w:val="19"/>
              </w:rPr>
              <w:t>FAQ data and logic used by FAQ page</w:t>
            </w:r>
          </w:p>
        </w:tc>
      </w:tr>
      <w:tr>
        <w:tc>
          <w:tcPr>
            <w:tcW w:type="dxa" w:w="4320"/>
          </w:tcPr>
          <w:p>
            <w:r>
              <w:rPr>
                <w:sz w:val="19"/>
              </w:rPr>
            </w:r>
            <w:r>
              <w:rPr>
                <w:rFonts w:ascii="Courier New" w:hAnsi="Courier New"/>
                <w:sz w:val="20"/>
              </w:rPr>
              <w:t>lib/anthropic.ts</w:t>
            </w:r>
            <w:r>
              <w:rPr>
                <w:sz w:val="22"/>
              </w:rPr>
            </w:r>
          </w:p>
        </w:tc>
        <w:tc>
          <w:tcPr>
            <w:tcW w:type="dxa" w:w="4320"/>
          </w:tcPr>
          <w:p>
            <w:r>
              <w:rPr>
                <w:sz w:val="19"/>
              </w:rPr>
              <w:t>SDK client initialization — dormant but intentionally kept for future enablement</w:t>
            </w:r>
          </w:p>
        </w:tc>
      </w:tr>
      <w:tr>
        <w:tc>
          <w:tcPr>
            <w:tcW w:type="dxa" w:w="4320"/>
          </w:tcPr>
          <w:p>
            <w:r>
              <w:rPr>
                <w:sz w:val="19"/>
              </w:rPr>
            </w:r>
            <w:r>
              <w:rPr>
                <w:rFonts w:ascii="Courier New" w:hAnsi="Courier New"/>
                <w:sz w:val="20"/>
              </w:rPr>
              <w:t>public/tailwind.css</w:t>
            </w:r>
            <w:r>
              <w:rPr>
                <w:sz w:val="22"/>
              </w:rPr>
            </w:r>
          </w:p>
        </w:tc>
        <w:tc>
          <w:tcPr>
            <w:tcW w:type="dxa" w:w="4320"/>
          </w:tcPr>
          <w:p>
            <w:r>
              <w:rPr>
                <w:sz w:val="19"/>
              </w:rPr>
              <w:t xml:space="preserve">Generated CSS loaded via </w:t>
            </w:r>
            <w:r>
              <w:rPr>
                <w:rFonts w:ascii="Courier New" w:hAnsi="Courier New"/>
                <w:sz w:val="20"/>
              </w:rPr>
              <w:t>&lt;link&gt;</w:t>
            </w:r>
            <w:r>
              <w:rPr>
                <w:sz w:val="22"/>
              </w:rPr>
              <w:t xml:space="preserve"> in </w:t>
            </w:r>
            <w:r>
              <w:rPr>
                <w:rFonts w:ascii="Courier New" w:hAnsi="Courier New"/>
                <w:sz w:val="20"/>
              </w:rPr>
              <w:t>app/layout.tsx</w:t>
            </w:r>
            <w:r>
              <w:rPr>
                <w:sz w:val="22"/>
              </w:rPr>
            </w:r>
          </w:p>
        </w:tc>
      </w:tr>
      <w:tr>
        <w:tc>
          <w:tcPr>
            <w:tcW w:type="dxa" w:w="4320"/>
          </w:tcPr>
          <w:p>
            <w:r>
              <w:rPr>
                <w:sz w:val="19"/>
              </w:rPr>
            </w:r>
            <w:r>
              <w:rPr>
                <w:rFonts w:ascii="Courier New" w:hAnsi="Courier New"/>
                <w:sz w:val="20"/>
              </w:rPr>
              <w:t>app/sebi/aif-compliance-test-report/page.tsx</w:t>
            </w:r>
            <w:r>
              <w:rPr>
                <w:sz w:val="22"/>
              </w:rPr>
            </w:r>
          </w:p>
        </w:tc>
        <w:tc>
          <w:tcPr>
            <w:tcW w:type="dxa" w:w="4320"/>
          </w:tcPr>
          <w:p>
            <w:r>
              <w:rPr>
                <w:sz w:val="19"/>
              </w:rPr>
              <w:t>Live content page despite "test-report" in name — serves real content</w:t>
            </w:r>
          </w:p>
        </w:tc>
      </w:tr>
      <w:tr>
        <w:tc>
          <w:tcPr>
            <w:tcW w:type="dxa" w:w="4320"/>
          </w:tcPr>
          <w:p>
            <w:r>
              <w:rPr>
                <w:sz w:val="19"/>
              </w:rPr>
            </w:r>
            <w:r>
              <w:rPr>
                <w:rFonts w:ascii="Courier New" w:hAnsi="Courier New"/>
                <w:sz w:val="20"/>
              </w:rPr>
              <w:t>AGENTS.md</w:t>
            </w:r>
            <w:r>
              <w:rPr>
                <w:sz w:val="22"/>
              </w:rPr>
            </w:r>
          </w:p>
        </w:tc>
        <w:tc>
          <w:tcPr>
            <w:tcW w:type="dxa" w:w="4320"/>
          </w:tcPr>
          <w:p>
            <w:r>
              <w:rPr>
                <w:sz w:val="19"/>
              </w:rPr>
              <w:t>Still referenced by some agent workflows; not yet superseded</w:t>
            </w:r>
          </w:p>
        </w:tc>
      </w:tr>
    </w:tbl>
    <w:p/>
    <w:p>
      <w:r>
        <w:br w:type="page"/>
      </w:r>
    </w:p>
    <w:p>
      <w:pPr>
        <w:pStyle w:val="Heading1"/>
      </w:pPr>
      <w:r>
        <w:rPr>
          <w:color w:val="1A56DB"/>
          <w:sz w:val="40"/>
        </w:rPr>
        <w:t>Estabizz — Recommended Folder Structure</w:t>
      </w:r>
    </w:p>
    <w:p>
      <w:pPr>
        <w:ind w:left="360"/>
      </w:pPr>
      <w:r>
        <w:rPr>
          <w:i/>
          <w:color w:val="555555"/>
          <w:sz w:val="20"/>
        </w:rPr>
        <w:t>Created: 2026-07-22 · Branch: **main** (confirmed) · Audit commit: **73f04af**</w:t>
      </w:r>
    </w:p>
    <w:p>
      <w:pPr>
        <w:ind w:left="360"/>
      </w:pPr>
      <w:r>
        <w:rPr>
          <w:i/>
          <w:color w:val="555555"/>
          <w:sz w:val="20"/>
        </w:rPr>
        <w:t>This document describes the target folder structure after cleanup. It does NOT prescribe moving files in one session — see ESTABIZZ_FOLDER_CLEANUP_PLAN.md for the phased, safe sequence of changes.</w:t>
      </w:r>
    </w:p>
    <w:p/>
    <w:p>
      <w:pPr>
        <w:pStyle w:val="Heading2"/>
      </w:pPr>
      <w:r>
        <w:rPr>
          <w:color w:val="1E40AF"/>
          <w:sz w:val="30"/>
        </w:rPr>
        <w:t>Current vs. Recommended: Top-Level</w:t>
      </w:r>
    </w:p>
    <w:p>
      <w:pPr>
        <w:pStyle w:val="Heading3"/>
      </w:pPr>
      <w:r>
        <w:rPr>
          <w:color w:val="1D4E89"/>
          <w:sz w:val="26"/>
        </w:rPr>
        <w:t>Current (as of audit)</w:t>
      </w:r>
    </w:p>
    <w:p>
      <w:pPr>
        <w:spacing w:before="80" w:after="80"/>
        <w:ind w:left="432"/>
        <w:shd w:val="clear" w:color="auto" w:fill="F0F0F0"/>
      </w:pPr>
      <w:r>
        <w:rPr>
          <w:rFonts w:ascii="Courier New" w:hAnsi="Courier New"/>
          <w:sz w:val="17"/>
        </w:rPr>
        <w:t>/ (project root)</w:t>
        <w:br/>
        <w:t>├── app/</w:t>
        <w:br/>
        <w:t>├── components/</w:t>
        <w:br/>
        <w:t>├── lib/</w:t>
        <w:br/>
        <w:t>├── scripts/</w:t>
        <w:br/>
        <w:t>├── public/</w:t>
        <w:br/>
        <w:t>├── scratch/                      ← empty; no purpose</w:t>
        <w:br/>
        <w:t>├── proxy.ts                      ← misnamed; never invoked by Next.js</w:t>
        <w:br/>
        <w:t>├── tsconfig.tsbuildinfo          ← generated; should be gitignored</w:t>
        <w:br/>
        <w:t>├── Estabizz_Project_Documentation.docx  ← untracked binary; should be gitignored</w:t>
        <w:br/>
        <w:t>├── [19 .md documentation files]  ← mixed at root with config files</w:t>
        <w:br/>
        <w:t>├── next.config.js</w:t>
        <w:br/>
        <w:t>├── postcss.config.js</w:t>
        <w:br/>
        <w:t>├── tailwind.config.js</w:t>
        <w:br/>
        <w:t>├── tsconfig.json</w:t>
        <w:br/>
        <w:t>├── package.json</w:t>
        <w:br/>
        <w:t>├── vercel.json</w:t>
        <w:br/>
        <w:t>└── .eslintrc.json</w:t>
      </w:r>
    </w:p>
    <w:p>
      <w:pPr>
        <w:pStyle w:val="Heading3"/>
      </w:pPr>
      <w:r>
        <w:rPr>
          <w:color w:val="1D4E89"/>
          <w:sz w:val="26"/>
        </w:rPr>
        <w:t>Recommended (target state)</w:t>
      </w:r>
    </w:p>
    <w:p>
      <w:pPr>
        <w:spacing w:before="80" w:after="80"/>
        <w:ind w:left="432"/>
        <w:shd w:val="clear" w:color="auto" w:fill="F0F0F0"/>
      </w:pPr>
      <w:r>
        <w:rPr>
          <w:rFonts w:ascii="Courier New" w:hAnsi="Courier New"/>
          <w:sz w:val="17"/>
        </w:rPr>
        <w:t>/ (project root)</w:t>
        <w:br/>
        <w:t>├── app/                          ← unchanged</w:t>
        <w:br/>
        <w:t>├── components/                   ← unchanged</w:t>
        <w:br/>
        <w:t>├── lib/                          ← unchanged (with minor internal cleanup)</w:t>
        <w:br/>
        <w:t>├── scripts/                      ← unchanged</w:t>
        <w:br/>
        <w:t>├── public/                       ← unchanged</w:t>
        <w:br/>
        <w:t>├── docs/                         ← NEW: all .md documentation files</w:t>
        <w:br/>
        <w:t>│   ├── CMS_STATUS.md</w:t>
        <w:br/>
        <w:t>│   ├── AGENTS.md</w:t>
        <w:br/>
        <w:t>│   ├── ESTABIZZ_PROJECT_MASTER_CONTEXT.md</w:t>
        <w:br/>
        <w:t>│   ├── ESTABIZZ_AGENT_OPERATING_GUIDE.md</w:t>
        <w:br/>
        <w:t>│   ├── ESTABIZZ_TECHNICAL_ARCHITECTURE.md</w:t>
        <w:br/>
        <w:t>│   ├── ESTABIZZ_MODULE_INVENTORY.md</w:t>
        <w:br/>
        <w:t>│   ├── ESTABIZZ_API_DATABASE_MAP.md</w:t>
        <w:br/>
        <w:t>│   ├── ESTABIZZ_SECURITY_PERMISSION_MAP.md</w:t>
        <w:br/>
        <w:t>│   ├── ESTABIZZ_CURRENT_COMPLETION_STATUS.md</w:t>
        <w:br/>
        <w:t>│   ├── ESTABIZZ_TECHNICAL_DEBT_REGISTER.md</w:t>
        <w:br/>
        <w:t>│   ├── ESTABIZZ_FUTURE_PRODUCT_ROADMAP.md</w:t>
        <w:br/>
        <w:t>│   ├── ESTABIZZ_NEXT_20_TASKS.md</w:t>
        <w:br/>
        <w:t>│   ├── ESTABIZZ_REPOSITORY_STRUCTURE_MAP.md</w:t>
        <w:br/>
        <w:t>│   ├── ESTABIZZ_FILE_CLASSIFICATION_REGISTER.md</w:t>
        <w:br/>
        <w:t>│   ├── ESTABIZZ_DUPLICATE_UNUSED_FILE_REPORT.md</w:t>
        <w:br/>
        <w:t>│   ├── ESTABIZZ_RECOMMENDED_FOLDER_STRUCTURE.md</w:t>
        <w:br/>
        <w:t>│   ├── ESTABIZZ_FOLDER_CLEANUP_PLAN.md</w:t>
        <w:br/>
        <w:t>│   ├── ADMIN_OS_DISASTER_RECOVERY.md</w:t>
        <w:br/>
        <w:t>│   ├── ADMIN_OS_PRODUCTION_READINESS.md</w:t>
        <w:br/>
        <w:t>│   ├── ADMIN_OS_SECURITY_MATRIX.md</w:t>
        <w:br/>
        <w:t>│   ├── ADMIN_OS_SEO_DEPLOYMENT_CHECKLIST.md</w:t>
        <w:br/>
        <w:t>│   ├── ADMIN_OS_STAGING_RELEASE_PACKAGE.md</w:t>
        <w:br/>
        <w:t>│   └── SECURITY_INCIDENT_S2.md</w:t>
        <w:br/>
        <w:t>├── middleware.ts                 ← RENAMED from proxy.ts (after content verification)</w:t>
        <w:br/>
        <w:t>├── next.config.js                ← unchanged</w:t>
        <w:br/>
        <w:t>├── postcss.config.js             ← unchanged</w:t>
        <w:br/>
        <w:t>├── tailwind.config.js            ← unchanged</w:t>
        <w:br/>
        <w:t>├── tsconfig.json                 ← unchanged</w:t>
        <w:br/>
        <w:t>├── package.json                  ← unchanged</w:t>
        <w:br/>
        <w:t>├── vercel.json                   ← unchanged</w:t>
        <w:br/>
        <w:t>└── .eslintrc.json                ← unchanged</w:t>
      </w:r>
    </w:p>
    <w:p>
      <w:r>
        <w:rPr>
          <w:sz w:val="22"/>
        </w:rPr>
      </w:r>
      <w:r>
        <w:rPr>
          <w:b/>
          <w:sz w:val="22"/>
        </w:rPr>
        <w:t>Files removed from root</w:t>
      </w:r>
      <w:r>
        <w:rPr>
          <w:sz w:val="22"/>
        </w:rPr>
        <w:t>:</w:t>
      </w:r>
    </w:p>
    <w:p>
      <w:pPr>
        <w:pStyle w:val="ListBullet"/>
      </w:pPr>
      <w:r>
        <w:rPr>
          <w:sz w:val="22"/>
        </w:rPr>
      </w:r>
      <w:r>
        <w:rPr>
          <w:rFonts w:ascii="Courier New" w:hAnsi="Courier New"/>
          <w:sz w:val="22"/>
        </w:rPr>
        <w:t>scratch/</w:t>
      </w:r>
      <w:r>
        <w:rPr>
          <w:sz w:val="22"/>
        </w:rPr>
        <w:t xml:space="preserve"> (empty directory — deleted)</w:t>
      </w:r>
    </w:p>
    <w:p>
      <w:pPr>
        <w:pStyle w:val="ListBullet"/>
      </w:pPr>
      <w:r>
        <w:rPr>
          <w:sz w:val="22"/>
        </w:rPr>
      </w:r>
      <w:r>
        <w:rPr>
          <w:rFonts w:ascii="Courier New" w:hAnsi="Courier New"/>
          <w:sz w:val="22"/>
        </w:rPr>
        <w:t>tsconfig.tsbuildinfo</w:t>
      </w:r>
      <w:r>
        <w:rPr>
          <w:sz w:val="22"/>
        </w:rPr>
        <w:t xml:space="preserve"> (added to </w:t>
      </w:r>
      <w:r>
        <w:rPr>
          <w:rFonts w:ascii="Courier New" w:hAnsi="Courier New"/>
          <w:sz w:val="22"/>
        </w:rPr>
        <w:t>.gitignore</w:t>
      </w:r>
      <w:r>
        <w:rPr>
          <w:sz w:val="22"/>
        </w:rPr>
        <w:t>)</w:t>
      </w:r>
    </w:p>
    <w:p>
      <w:pPr>
        <w:pStyle w:val="ListBullet"/>
      </w:pPr>
      <w:r>
        <w:rPr>
          <w:sz w:val="22"/>
        </w:rPr>
      </w:r>
      <w:r>
        <w:rPr>
          <w:rFonts w:ascii="Courier New" w:hAnsi="Courier New"/>
          <w:sz w:val="22"/>
        </w:rPr>
        <w:t>Estabizz_Project_Documentation.docx</w:t>
      </w:r>
      <w:r>
        <w:rPr>
          <w:sz w:val="22"/>
        </w:rPr>
        <w:t xml:space="preserve"> (added to </w:t>
      </w:r>
      <w:r>
        <w:rPr>
          <w:rFonts w:ascii="Courier New" w:hAnsi="Courier New"/>
          <w:sz w:val="22"/>
        </w:rPr>
        <w:t>.gitignore</w:t>
      </w:r>
      <w:r>
        <w:rPr>
          <w:sz w:val="22"/>
        </w:rPr>
        <w:t>)</w:t>
      </w:r>
    </w:p>
    <w:p>
      <w:pPr>
        <w:pStyle w:val="ListBullet"/>
      </w:pPr>
      <w:r>
        <w:rPr>
          <w:sz w:val="22"/>
        </w:rPr>
      </w:r>
      <w:r>
        <w:rPr>
          <w:rFonts w:ascii="Courier New" w:hAnsi="Courier New"/>
          <w:sz w:val="22"/>
        </w:rPr>
        <w:t>proxy.ts</w:t>
      </w:r>
      <w:r>
        <w:rPr>
          <w:sz w:val="22"/>
        </w:rPr>
        <w:t xml:space="preserve"> (renamed to </w:t>
      </w:r>
      <w:r>
        <w:rPr>
          <w:rFonts w:ascii="Courier New" w:hAnsi="Courier New"/>
          <w:sz w:val="22"/>
        </w:rPr>
        <w:t>middleware.ts</w:t>
      </w:r>
      <w:r>
        <w:rPr>
          <w:sz w:val="22"/>
        </w:rPr>
        <w:t xml:space="preserve"> or deleted)</w:t>
      </w:r>
    </w:p>
    <w:p/>
    <w:p>
      <w:pPr>
        <w:pStyle w:val="Heading2"/>
      </w:pPr>
      <w:r>
        <w:rPr>
          <w:color w:val="1E40AF"/>
          <w:sz w:val="30"/>
        </w:rPr>
        <w:t>Recommended: lib/ Internal Cleanup</w:t>
      </w:r>
    </w:p>
    <w:p>
      <w:pPr>
        <w:pStyle w:val="Heading3"/>
      </w:pPr>
      <w:r>
        <w:rPr>
          <w:color w:val="1D4E89"/>
          <w:sz w:val="26"/>
        </w:rPr>
        <w:t>Current lib/ notable files to address</w:t>
      </w:r>
    </w:p>
    <w:p>
      <w:pPr>
        <w:spacing w:before="80" w:after="80"/>
        <w:ind w:left="432"/>
        <w:shd w:val="clear" w:color="auto" w:fill="F0F0F0"/>
      </w:pPr>
      <w:r>
        <w:rPr>
          <w:rFonts w:ascii="Courier New" w:hAnsi="Courier New"/>
          <w:sz w:val="17"/>
        </w:rPr>
        <w:t>lib/</w:t>
        <w:br/>
        <w:t>├── regulatoryUpdates.ts          ← REMOVE (legacy static data, superseded)</w:t>
        <w:br/>
        <w:t>├── blog/</w:t>
        <w:br/>
        <w:t>│   └── sampleBlogs.ts            ← REMOVE (empty array, unused)</w:t>
        <w:br/>
        <w:t>└── (all other files — keep as-is)</w:t>
      </w:r>
    </w:p>
    <w:p>
      <w:pPr>
        <w:pStyle w:val="Heading3"/>
      </w:pPr>
      <w:r>
        <w:rPr>
          <w:color w:val="1D4E89"/>
          <w:sz w:val="26"/>
        </w:rPr>
        <w:t>Recommended lib/ (after cleanup)</w:t>
      </w:r>
    </w:p>
    <w:p>
      <w:pPr>
        <w:spacing w:before="80" w:after="80"/>
        <w:ind w:left="432"/>
        <w:shd w:val="clear" w:color="auto" w:fill="F0F0F0"/>
      </w:pPr>
      <w:r>
        <w:rPr>
          <w:rFonts w:ascii="Courier New" w:hAnsi="Courier New"/>
          <w:sz w:val="17"/>
        </w:rPr>
        <w:t>lib/</w:t>
        <w:br/>
        <w:t>├── db.ts                         ← unchanged</w:t>
        <w:br/>
        <w:t>├── anthropic.ts                  ← unchanged (dormant; keep for future enablement)</w:t>
        <w:br/>
        <w:t>├── faqEngine.ts                  ← unchanged</w:t>
        <w:br/>
        <w:t>├── servicePageTemplate.ts        ← unchanged (documentation-as-code; intentional)</w:t>
        <w:br/>
        <w:t>├── admin/                        ← unchanged</w:t>
        <w:br/>
        <w:t>├── auth/                         ← unchanged</w:t>
        <w:br/>
        <w:t>├── blog/                         ← remove sampleBlogs.ts; keep all others</w:t>
        <w:br/>
        <w:t>├── content/                      ← unchanged</w:t>
        <w:br/>
        <w:t>├── models/                       ← unchanged</w:t>
        <w:br/>
        <w:t>├── publicContent/                ← unchanged</w:t>
        <w:br/>
        <w:t>├── regulatory/                   ← unchanged</w:t>
        <w:br/>
        <w:t>├── seo/                          ← unchanged</w:t>
        <w:br/>
        <w:t>└── landing/                      ← unchanged</w:t>
      </w:r>
    </w:p>
    <w:p/>
    <w:p>
      <w:pPr>
        <w:pStyle w:val="Heading2"/>
      </w:pPr>
      <w:r>
        <w:rPr>
          <w:color w:val="1E40AF"/>
          <w:sz w:val="30"/>
        </w:rPr>
        <w:t>Recommended: components/ Internal Cleanup</w:t>
      </w:r>
    </w:p>
    <w:p>
      <w:pPr>
        <w:pStyle w:val="Heading3"/>
      </w:pPr>
      <w:r>
        <w:rPr>
          <w:color w:val="1D4E89"/>
          <w:sz w:val="26"/>
        </w:rPr>
        <w:t>Current state</w:t>
      </w:r>
    </w:p>
    <w:p>
      <w:pPr>
        <w:spacing w:before="80" w:after="80"/>
        <w:ind w:left="432"/>
        <w:shd w:val="clear" w:color="auto" w:fill="F0F0F0"/>
      </w:pPr>
      <w:r>
        <w:rPr>
          <w:rFonts w:ascii="Courier New" w:hAnsi="Courier New"/>
          <w:sz w:val="17"/>
        </w:rPr>
        <w:t>components/</w:t>
        <w:br/>
        <w:t>├── FAQAccordion.tsx              ← lone file at root (not in subfolder)</w:t>
        <w:br/>
        <w:t>└── home/</w:t>
        <w:br/>
        <w:t xml:space="preserve">    └── RegulatorySevices.tsx     ← typo in filename ("Sevices")</w:t>
      </w:r>
    </w:p>
    <w:p>
      <w:pPr>
        <w:pStyle w:val="Heading3"/>
      </w:pPr>
      <w:r>
        <w:rPr>
          <w:color w:val="1D4E89"/>
          <w:sz w:val="26"/>
        </w:rPr>
        <w:t>Recommended target</w:t>
      </w:r>
    </w:p>
    <w:p>
      <w:pPr>
        <w:spacing w:before="80" w:after="80"/>
        <w:ind w:left="432"/>
        <w:shd w:val="clear" w:color="auto" w:fill="F0F0F0"/>
      </w:pPr>
      <w:r>
        <w:rPr>
          <w:rFonts w:ascii="Courier New" w:hAnsi="Courier New"/>
          <w:sz w:val="17"/>
        </w:rPr>
        <w:t>components/</w:t>
        <w:br/>
        <w:t>├── ui/</w:t>
        <w:br/>
        <w:t>│   └── FAQAccordion.tsx          ← MOVED into ui/ subfolder (or keep at root — low priority)</w:t>
        <w:br/>
        <w:t>└── home/</w:t>
        <w:br/>
        <w:t xml:space="preserve">    └── RegulatoryServices.tsx    ← RENAMED to fix typo (requires import update)</w:t>
      </w:r>
    </w:p>
    <w:p>
      <w:r>
        <w:rPr>
          <w:sz w:val="22"/>
        </w:rPr>
      </w:r>
      <w:r>
        <w:rPr>
          <w:b/>
          <w:sz w:val="22"/>
        </w:rPr>
        <w:t>Note on `FAQAccordion.tsx`</w:t>
      </w:r>
      <w:r>
        <w:rPr>
          <w:sz w:val="22"/>
        </w:rPr>
        <w:t xml:space="preserve">: Moving it to </w:t>
      </w:r>
      <w:r>
        <w:rPr>
          <w:rFonts w:ascii="Courier New" w:hAnsi="Courier New"/>
          <w:sz w:val="20"/>
        </w:rPr>
        <w:t>components/ui/</w:t>
      </w:r>
      <w:r>
        <w:rPr>
          <w:sz w:val="22"/>
        </w:rPr>
        <w:t xml:space="preserve"> is a minor cosmetic improvement. The more important fix is the </w:t>
      </w:r>
      <w:r>
        <w:rPr>
          <w:rFonts w:ascii="Courier New" w:hAnsi="Courier New"/>
          <w:sz w:val="20"/>
        </w:rPr>
        <w:t>RegulatorySevices.tsx</w:t>
      </w:r>
      <w:r>
        <w:rPr>
          <w:sz w:val="22"/>
        </w:rPr>
        <w:t xml:space="preserve"> typo, which is confusing for developers. Both require updating imports in files that reference them.</w:t>
      </w:r>
    </w:p>
    <w:p/>
    <w:p>
      <w:pPr>
        <w:pStyle w:val="Heading2"/>
      </w:pPr>
      <w:r>
        <w:rPr>
          <w:color w:val="1E40AF"/>
          <w:sz w:val="30"/>
        </w:rPr>
        <w:t>Recommended: Redirect Routes → next.config.js</w:t>
      </w:r>
    </w:p>
    <w:p>
      <w:pPr>
        <w:pStyle w:val="Heading3"/>
      </w:pPr>
      <w:r>
        <w:rPr>
          <w:color w:val="1D4E89"/>
          <w:sz w:val="26"/>
        </w:rPr>
        <w:t>Current state</w:t>
      </w:r>
    </w:p>
    <w:p>
      <w:r>
        <w:rPr>
          <w:sz w:val="22"/>
        </w:rPr>
        <w:t xml:space="preserve">17 redirect-only </w:t>
      </w:r>
      <w:r>
        <w:rPr>
          <w:rFonts w:ascii="Courier New" w:hAnsi="Courier New"/>
          <w:sz w:val="20"/>
        </w:rPr>
        <w:t>page.tsx</w:t>
      </w:r>
      <w:r>
        <w:rPr>
          <w:sz w:val="22"/>
        </w:rPr>
        <w:t xml:space="preserve"> files spread across </w:t>
      </w:r>
      <w:r>
        <w:rPr>
          <w:rFonts w:ascii="Courier New" w:hAnsi="Courier New"/>
          <w:sz w:val="20"/>
        </w:rPr>
        <w:t>app/sebi/</w:t>
      </w:r>
      <w:r>
        <w:rPr>
          <w:sz w:val="22"/>
        </w:rPr>
        <w:t xml:space="preserve">, </w:t>
      </w:r>
      <w:r>
        <w:rPr>
          <w:rFonts w:ascii="Courier New" w:hAnsi="Courier New"/>
          <w:sz w:val="20"/>
        </w:rPr>
        <w:t>app/ifsca/</w:t>
      </w:r>
      <w:r>
        <w:rPr>
          <w:sz w:val="22"/>
        </w:rPr>
        <w:t xml:space="preserve">, </w:t>
      </w:r>
      <w:r>
        <w:rPr>
          <w:rFonts w:ascii="Courier New" w:hAnsi="Courier New"/>
          <w:sz w:val="20"/>
        </w:rPr>
        <w:t>app/regulatory/</w:t>
      </w:r>
      <w:r>
        <w:rPr>
          <w:sz w:val="22"/>
        </w:rPr>
        <w:t xml:space="preserve">, </w:t>
      </w:r>
      <w:r>
        <w:rPr>
          <w:rFonts w:ascii="Courier New" w:hAnsi="Courier New"/>
          <w:sz w:val="20"/>
        </w:rPr>
        <w:t>app/admin/media/</w:t>
      </w:r>
      <w:r>
        <w:rPr>
          <w:sz w:val="22"/>
        </w:rPr>
        <w:t>.</w:t>
      </w:r>
    </w:p>
    <w:p>
      <w:pPr>
        <w:pStyle w:val="Heading3"/>
      </w:pPr>
      <w:r>
        <w:rPr>
          <w:color w:val="1D4E89"/>
          <w:sz w:val="26"/>
        </w:rPr>
        <w:t>Recommended (optional, lower priority)</w:t>
      </w:r>
    </w:p>
    <w:p>
      <w:r>
        <w:rPr>
          <w:sz w:val="22"/>
        </w:rPr>
        <w:t xml:space="preserve">Move all redirect logic into </w:t>
      </w:r>
      <w:r>
        <w:rPr>
          <w:rFonts w:ascii="Courier New" w:hAnsi="Courier New"/>
          <w:sz w:val="20"/>
        </w:rPr>
        <w:t>next.config.js</w:t>
      </w:r>
      <w:r>
        <w:rPr>
          <w:sz w:val="22"/>
        </w:rPr>
        <w:t xml:space="preserve"> using the built-in </w:t>
      </w:r>
      <w:r>
        <w:rPr>
          <w:rFonts w:ascii="Courier New" w:hAnsi="Courier New"/>
          <w:sz w:val="20"/>
        </w:rPr>
        <w:t>redirects</w:t>
      </w:r>
      <w:r>
        <w:rPr>
          <w:sz w:val="22"/>
        </w:rPr>
        <w:t xml:space="preserve"> function:</w:t>
      </w:r>
    </w:p>
    <w:p>
      <w:pPr>
        <w:spacing w:before="80" w:after="80"/>
        <w:ind w:left="432"/>
        <w:shd w:val="clear" w:color="auto" w:fill="F0F0F0"/>
      </w:pPr>
      <w:r>
        <w:rPr>
          <w:rFonts w:ascii="Courier New" w:hAnsi="Courier New"/>
          <w:sz w:val="17"/>
        </w:rPr>
        <w:t>// next.config.js (partial — existing config preserved)</w:t>
        <w:br/>
        <w:t>async redirects() {</w:t>
        <w:br/>
        <w:t xml:space="preserve">  return [</w:t>
        <w:br/>
        <w:t xml:space="preserve">    // SEBI aliases</w:t>
        <w:br/>
        <w:t xml:space="preserve">    { source: '/sebi/investment-adviser-registration', destination: '/sebi/ria-registration-in-india', permanent: true },</w:t>
        <w:br/>
        <w:t xml:space="preserve">    { source: '/sebi/portfolio-manager-registration', destination: '/sebi/pms-registration-in-india', permanent: true },</w:t>
        <w:br/>
        <w:t xml:space="preserve">    { source: '/sebi/research-analyst-registration', destination: '/sebi/research-analyst-registration-in-india', permanent: true },</w:t>
        <w:br/>
        <w:t xml:space="preserve">    { source: '/sebi/sebi-ria-registration', destination: '/sebi/ria-registration-in-india', permanent: true },</w:t>
        <w:br/>
        <w:t xml:space="preserve">    { source: '/sebi/sebi-stock-broker-registration', destination: '/sebi/stock-broker-registration-in-india', permanent: true },</w:t>
        <w:br/>
        <w:t xml:space="preserve">    { source: '/sebi/social-stock-exchange-license', destination: '/sebi/social-stock-exchange-license-india', permanent: true },</w:t>
        <w:br/>
        <w:t xml:space="preserve">    { source: '/sebi/stock-broker-license-india', destination: '/sebi/stock-broker-registration-in-india', permanent: true },</w:t>
        <w:br/>
        <w:t xml:space="preserve">    { source: '/sebi/stock-broker-registration', destination: '/sebi/stock-broker-registration-in-india', permanent: true },</w:t>
        <w:br/>
        <w:t xml:space="preserve">    // IFSCA aliases</w:t>
        <w:br/>
        <w:t xml:space="preserve">    { source: '/ifsca/aircraft-leasing', destination: '/ifsca/aircraft-leasing-registration-in-ifsc', permanent: true },</w:t>
        <w:br/>
        <w:t xml:space="preserve">    { source: '/ifsca/batf-services', destination: '/ifsca/batf-services-registration-in-gift-ifsc', permanent: true },</w:t>
        <w:br/>
        <w:t xml:space="preserve">    { source: '/ifsca/finance-company', destination: '/ifsca/finance-company-in-gift-ifsc', permanent: true },</w:t>
        <w:br/>
        <w:t xml:space="preserve">    { source: '/ifsca/finance-company-registration-in-ifsc', destination: '/ifsca/finance-company-in-gift-ifsc', permanent: true },</w:t>
        <w:br/>
        <w:t xml:space="preserve">    { source: '/ifsca/fintech-entity', destination: '/ifsca/ifsca-fintech-startup-incentives', permanent: true },</w:t>
        <w:br/>
        <w:t xml:space="preserve">    { source: '/ifsca/itfs-platform', destination: '/ifsca/itfs-registration-in-gift-ifsc', permanent: true },</w:t>
        <w:br/>
        <w:t xml:space="preserve">    { source: '/ifsca/psp-license', destination: '/ifsca/psp-license-ifsca', permanent: true },</w:t>
        <w:br/>
        <w:t xml:space="preserve">    // Other</w:t>
        <w:br/>
        <w:t xml:space="preserve">    { source: '/regulatory/psp-license-ifsca', destination: '/ifsca/psp-license-ifsca', permanent: true },</w:t>
        <w:br/>
        <w:t xml:space="preserve">    { source: '/admin/media', destination: '/admin/media-library', permanent: true },</w:t>
        <w:br/>
        <w:t xml:space="preserve">  ]</w:t>
        <w:br/>
        <w:t>}</w:t>
      </w:r>
    </w:p>
    <w:p>
      <w:r>
        <w:rPr>
          <w:sz w:val="22"/>
        </w:rPr>
        <w:t xml:space="preserve">After consolidating into </w:t>
      </w:r>
      <w:r>
        <w:rPr>
          <w:rFonts w:ascii="Courier New" w:hAnsi="Courier New"/>
          <w:sz w:val="20"/>
        </w:rPr>
        <w:t>next.config.js</w:t>
      </w:r>
      <w:r>
        <w:rPr>
          <w:sz w:val="22"/>
        </w:rPr>
        <w:t xml:space="preserve">, the 17 individual </w:t>
      </w:r>
      <w:r>
        <w:rPr>
          <w:rFonts w:ascii="Courier New" w:hAnsi="Courier New"/>
          <w:sz w:val="20"/>
        </w:rPr>
        <w:t>page.tsx</w:t>
      </w:r>
      <w:r>
        <w:rPr>
          <w:sz w:val="22"/>
        </w:rPr>
        <w:t xml:space="preserve"> redirect files can be deleted.</w:t>
      </w:r>
    </w:p>
    <w:p>
      <w:r>
        <w:rPr>
          <w:sz w:val="22"/>
        </w:rPr>
      </w:r>
      <w:r>
        <w:rPr>
          <w:b/>
          <w:sz w:val="22"/>
        </w:rPr>
        <w:t>Benefit</w:t>
      </w:r>
      <w:r>
        <w:rPr>
          <w:sz w:val="22"/>
        </w:rPr>
        <w:t>: Reduces the app route tree by 17 files; redirects execute at the edge (faster than page-level redirects).</w:t>
      </w:r>
    </w:p>
    <w:p>
      <w:r>
        <w:rPr>
          <w:sz w:val="22"/>
        </w:rPr>
      </w:r>
      <w:r>
        <w:rPr>
          <w:b/>
          <w:sz w:val="22"/>
        </w:rPr>
        <w:t>Risk</w:t>
      </w:r>
      <w:r>
        <w:rPr>
          <w:sz w:val="22"/>
        </w:rPr>
        <w:t>: If any of these redirect URLs are used in internal links, they will still work (they just now redirect via config rather than page).</w:t>
      </w:r>
    </w:p>
    <w:p/>
    <w:p>
      <w:pPr>
        <w:pStyle w:val="Heading2"/>
      </w:pPr>
      <w:r>
        <w:rPr>
          <w:color w:val="1E40AF"/>
          <w:sz w:val="30"/>
        </w:rPr>
        <w:t>Recommended: .gitignore Additions</w:t>
      </w:r>
    </w:p>
    <w:p>
      <w:r>
        <w:rPr>
          <w:sz w:val="22"/>
        </w:rPr>
        <w:t xml:space="preserve">Add these patterns to </w:t>
      </w:r>
      <w:r>
        <w:rPr>
          <w:rFonts w:ascii="Courier New" w:hAnsi="Courier New"/>
          <w:sz w:val="20"/>
        </w:rPr>
        <w:t>.gitignore</w:t>
      </w:r>
      <w:r>
        <w:rPr>
          <w:sz w:val="22"/>
        </w:rPr>
        <w:t>:</w:t>
      </w:r>
    </w:p>
    <w:p>
      <w:pPr>
        <w:spacing w:before="80" w:after="80"/>
        <w:ind w:left="432"/>
        <w:shd w:val="clear" w:color="auto" w:fill="F0F0F0"/>
      </w:pPr>
      <w:r>
        <w:rPr>
          <w:rFonts w:ascii="Courier New" w:hAnsi="Courier New"/>
          <w:sz w:val="17"/>
        </w:rPr>
        <w:t># TypeScript incremental build cache</w:t>
        <w:br/>
        <w:t>tsconfig.tsbuildinfo</w:t>
        <w:br/>
        <w:br/>
        <w:t># Generated documentation</w:t>
        <w:br/>
        <w:t>*.docx</w:t>
        <w:br/>
        <w:t>Estabizz_Project_Documentation.docx</w:t>
      </w:r>
    </w:p>
    <w:p>
      <w:r>
        <w:rPr>
          <w:sz w:val="22"/>
        </w:rPr>
      </w:r>
      <w:r>
        <w:rPr>
          <w:rFonts w:ascii="Courier New" w:hAnsi="Courier New"/>
          <w:sz w:val="20"/>
        </w:rPr>
        <w:t>public/tailwind.css</w:t>
      </w:r>
      <w:r>
        <w:rPr>
          <w:sz w:val="22"/>
        </w:rPr>
        <w:t xml:space="preserve"> is acceptable to keep in git (it is the CSS file loaded by </w:t>
      </w:r>
      <w:r>
        <w:rPr>
          <w:rFonts w:ascii="Courier New" w:hAnsi="Courier New"/>
          <w:sz w:val="20"/>
        </w:rPr>
        <w:t>layout.tsx</w:t>
      </w:r>
      <w:r>
        <w:rPr>
          <w:sz w:val="22"/>
        </w:rPr>
        <w:t xml:space="preserve"> and must be present for the site to render). No change needed there.</w:t>
      </w:r>
    </w:p>
    <w:p/>
    <w:p>
      <w:pPr>
        <w:pStyle w:val="Heading2"/>
      </w:pPr>
      <w:r>
        <w:rPr>
          <w:color w:val="1E40AF"/>
          <w:sz w:val="30"/>
        </w:rPr>
        <w:t>Priority Order for Structural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Priority</w:t>
            </w:r>
          </w:p>
        </w:tc>
        <w:tc>
          <w:tcPr>
            <w:tcW w:type="dxa" w:w="2160"/>
          </w:tcPr>
          <w:p>
            <w:r>
              <w:rPr>
                <w:b/>
                <w:sz w:val="19"/>
              </w:rPr>
              <w:t>Change</w:t>
            </w:r>
          </w:p>
        </w:tc>
        <w:tc>
          <w:tcPr>
            <w:tcW w:type="dxa" w:w="2160"/>
          </w:tcPr>
          <w:p>
            <w:r>
              <w:rPr>
                <w:b/>
                <w:sz w:val="19"/>
              </w:rPr>
              <w:t>Effort</w:t>
            </w:r>
          </w:p>
        </w:tc>
        <w:tc>
          <w:tcPr>
            <w:tcW w:type="dxa" w:w="2160"/>
          </w:tcPr>
          <w:p>
            <w:r>
              <w:rPr>
                <w:b/>
                <w:sz w:val="19"/>
              </w:rPr>
              <w:t>Risk</w:t>
            </w:r>
          </w:p>
        </w:tc>
      </w:tr>
      <w:tr>
        <w:tc>
          <w:tcPr>
            <w:tcW w:type="dxa" w:w="2160"/>
          </w:tcPr>
          <w:p>
            <w:r>
              <w:rPr>
                <w:sz w:val="19"/>
              </w:rPr>
              <w:t>P0</w:t>
            </w:r>
          </w:p>
        </w:tc>
        <w:tc>
          <w:tcPr>
            <w:tcW w:type="dxa" w:w="2160"/>
          </w:tcPr>
          <w:p>
            <w:r>
              <w:rPr>
                <w:sz w:val="19"/>
              </w:rPr>
              <w:t xml:space="preserve">Add </w:t>
            </w:r>
            <w:r>
              <w:rPr>
                <w:rFonts w:ascii="Courier New" w:hAnsi="Courier New"/>
                <w:sz w:val="20"/>
              </w:rPr>
              <w:t>tsconfig.tsbuildinfo</w:t>
            </w:r>
            <w:r>
              <w:rPr>
                <w:sz w:val="22"/>
              </w:rPr>
              <w:t xml:space="preserve"> to </w:t>
            </w:r>
            <w:r>
              <w:rPr>
                <w:rFonts w:ascii="Courier New" w:hAnsi="Courier New"/>
                <w:sz w:val="20"/>
              </w:rPr>
              <w:t>.gitignore</w:t>
            </w:r>
            <w:r>
              <w:rPr>
                <w:sz w:val="22"/>
              </w:rPr>
            </w:r>
          </w:p>
        </w:tc>
        <w:tc>
          <w:tcPr>
            <w:tcW w:type="dxa" w:w="2160"/>
          </w:tcPr>
          <w:p>
            <w:r>
              <w:rPr>
                <w:sz w:val="19"/>
              </w:rPr>
              <w:t>Trivial</w:t>
            </w:r>
          </w:p>
        </w:tc>
        <w:tc>
          <w:tcPr>
            <w:tcW w:type="dxa" w:w="2160"/>
          </w:tcPr>
          <w:p>
            <w:r>
              <w:rPr>
                <w:sz w:val="19"/>
              </w:rPr>
              <w:t>None</w:t>
            </w:r>
          </w:p>
        </w:tc>
      </w:tr>
      <w:tr>
        <w:tc>
          <w:tcPr>
            <w:tcW w:type="dxa" w:w="2160"/>
          </w:tcPr>
          <w:p>
            <w:r>
              <w:rPr>
                <w:sz w:val="19"/>
              </w:rPr>
              <w:t>P0</w:t>
            </w:r>
          </w:p>
        </w:tc>
        <w:tc>
          <w:tcPr>
            <w:tcW w:type="dxa" w:w="2160"/>
          </w:tcPr>
          <w:p>
            <w:r>
              <w:rPr>
                <w:sz w:val="19"/>
              </w:rPr>
              <w:t xml:space="preserve">Add </w:t>
            </w:r>
            <w:r>
              <w:rPr>
                <w:rFonts w:ascii="Courier New" w:hAnsi="Courier New"/>
                <w:sz w:val="20"/>
              </w:rPr>
              <w:t>*.docx</w:t>
            </w:r>
            <w:r>
              <w:rPr>
                <w:sz w:val="22"/>
              </w:rPr>
              <w:t xml:space="preserve"> to </w:t>
            </w:r>
            <w:r>
              <w:rPr>
                <w:rFonts w:ascii="Courier New" w:hAnsi="Courier New"/>
                <w:sz w:val="20"/>
              </w:rPr>
              <w:t>.gitignore</w:t>
            </w:r>
            <w:r>
              <w:rPr>
                <w:sz w:val="22"/>
              </w:rPr>
            </w:r>
          </w:p>
        </w:tc>
        <w:tc>
          <w:tcPr>
            <w:tcW w:type="dxa" w:w="2160"/>
          </w:tcPr>
          <w:p>
            <w:r>
              <w:rPr>
                <w:sz w:val="19"/>
              </w:rPr>
              <w:t>Trivial</w:t>
            </w:r>
          </w:p>
        </w:tc>
        <w:tc>
          <w:tcPr>
            <w:tcW w:type="dxa" w:w="2160"/>
          </w:tcPr>
          <w:p>
            <w:r>
              <w:rPr>
                <w:sz w:val="19"/>
              </w:rPr>
              <w:t>None</w:t>
            </w:r>
          </w:p>
        </w:tc>
      </w:tr>
      <w:tr>
        <w:tc>
          <w:tcPr>
            <w:tcW w:type="dxa" w:w="2160"/>
          </w:tcPr>
          <w:p>
            <w:r>
              <w:rPr>
                <w:sz w:val="19"/>
              </w:rPr>
              <w:t>P0</w:t>
            </w:r>
          </w:p>
        </w:tc>
        <w:tc>
          <w:tcPr>
            <w:tcW w:type="dxa" w:w="2160"/>
          </w:tcPr>
          <w:p>
            <w:r>
              <w:rPr>
                <w:sz w:val="19"/>
              </w:rPr>
              <w:t xml:space="preserve">Delete </w:t>
            </w:r>
            <w:r>
              <w:rPr>
                <w:rFonts w:ascii="Courier New" w:hAnsi="Courier New"/>
                <w:sz w:val="20"/>
              </w:rPr>
              <w:t>lib/blog/sampleBlogs.ts</w:t>
            </w:r>
            <w:r>
              <w:rPr>
                <w:sz w:val="22"/>
              </w:rPr>
            </w:r>
          </w:p>
        </w:tc>
        <w:tc>
          <w:tcPr>
            <w:tcW w:type="dxa" w:w="2160"/>
          </w:tcPr>
          <w:p>
            <w:r>
              <w:rPr>
                <w:sz w:val="19"/>
              </w:rPr>
              <w:t>Trivial</w:t>
            </w:r>
          </w:p>
        </w:tc>
        <w:tc>
          <w:tcPr>
            <w:tcW w:type="dxa" w:w="2160"/>
          </w:tcPr>
          <w:p>
            <w:r>
              <w:rPr>
                <w:sz w:val="19"/>
              </w:rPr>
              <w:t>None</w:t>
            </w:r>
          </w:p>
        </w:tc>
      </w:tr>
      <w:tr>
        <w:tc>
          <w:tcPr>
            <w:tcW w:type="dxa" w:w="2160"/>
          </w:tcPr>
          <w:p>
            <w:r>
              <w:rPr>
                <w:sz w:val="19"/>
              </w:rPr>
              <w:t>P1</w:t>
            </w:r>
          </w:p>
        </w:tc>
        <w:tc>
          <w:tcPr>
            <w:tcW w:type="dxa" w:w="2160"/>
          </w:tcPr>
          <w:p>
            <w:r>
              <w:rPr>
                <w:sz w:val="19"/>
              </w:rPr>
              <w:t xml:space="preserve">Delete </w:t>
            </w:r>
            <w:r>
              <w:rPr>
                <w:rFonts w:ascii="Courier New" w:hAnsi="Courier New"/>
                <w:sz w:val="20"/>
              </w:rPr>
              <w:t>lib/regulatoryUpdates.ts</w:t>
            </w:r>
            <w:r>
              <w:rPr>
                <w:sz w:val="22"/>
              </w:rPr>
            </w:r>
          </w:p>
        </w:tc>
        <w:tc>
          <w:tcPr>
            <w:tcW w:type="dxa" w:w="2160"/>
          </w:tcPr>
          <w:p>
            <w:r>
              <w:rPr>
                <w:sz w:val="19"/>
              </w:rPr>
              <w:t>Small</w:t>
            </w:r>
          </w:p>
        </w:tc>
        <w:tc>
          <w:tcPr>
            <w:tcW w:type="dxa" w:w="2160"/>
          </w:tcPr>
          <w:p>
            <w:r>
              <w:rPr>
                <w:sz w:val="19"/>
              </w:rPr>
              <w:t>Verify no imports first</w:t>
            </w:r>
          </w:p>
        </w:tc>
      </w:tr>
      <w:tr>
        <w:tc>
          <w:tcPr>
            <w:tcW w:type="dxa" w:w="2160"/>
          </w:tcPr>
          <w:p>
            <w:r>
              <w:rPr>
                <w:sz w:val="19"/>
              </w:rPr>
              <w:t>P1</w:t>
            </w:r>
          </w:p>
        </w:tc>
        <w:tc>
          <w:tcPr>
            <w:tcW w:type="dxa" w:w="2160"/>
          </w:tcPr>
          <w:p>
            <w:r>
              <w:rPr>
                <w:sz w:val="19"/>
              </w:rPr>
              <w:t xml:space="preserve">Delete </w:t>
            </w:r>
            <w:r>
              <w:rPr>
                <w:rFonts w:ascii="Courier New" w:hAnsi="Courier New"/>
                <w:sz w:val="20"/>
              </w:rPr>
              <w:t>scratch/</w:t>
            </w:r>
            <w:r>
              <w:rPr>
                <w:sz w:val="22"/>
              </w:rPr>
              <w:t xml:space="preserve"> directory</w:t>
            </w:r>
          </w:p>
        </w:tc>
        <w:tc>
          <w:tcPr>
            <w:tcW w:type="dxa" w:w="2160"/>
          </w:tcPr>
          <w:p>
            <w:r>
              <w:rPr>
                <w:sz w:val="19"/>
              </w:rPr>
              <w:t>Trivial</w:t>
            </w:r>
          </w:p>
        </w:tc>
        <w:tc>
          <w:tcPr>
            <w:tcW w:type="dxa" w:w="2160"/>
          </w:tcPr>
          <w:p>
            <w:r>
              <w:rPr>
                <w:sz w:val="19"/>
              </w:rPr>
              <w:t>None</w:t>
            </w:r>
          </w:p>
        </w:tc>
      </w:tr>
      <w:tr>
        <w:tc>
          <w:tcPr>
            <w:tcW w:type="dxa" w:w="2160"/>
          </w:tcPr>
          <w:p>
            <w:r>
              <w:rPr>
                <w:sz w:val="19"/>
              </w:rPr>
              <w:t>P1</w:t>
            </w:r>
          </w:p>
        </w:tc>
        <w:tc>
          <w:tcPr>
            <w:tcW w:type="dxa" w:w="2160"/>
          </w:tcPr>
          <w:p>
            <w:r>
              <w:rPr>
                <w:sz w:val="19"/>
              </w:rPr>
              <w:t xml:space="preserve">Resolve </w:t>
            </w:r>
            <w:r>
              <w:rPr>
                <w:rFonts w:ascii="Courier New" w:hAnsi="Courier New"/>
                <w:sz w:val="20"/>
              </w:rPr>
              <w:t>proxy.ts</w:t>
            </w:r>
            <w:r>
              <w:rPr>
                <w:sz w:val="22"/>
              </w:rPr>
              <w:t xml:space="preserve"> (rename or delete)</w:t>
            </w:r>
          </w:p>
        </w:tc>
        <w:tc>
          <w:tcPr>
            <w:tcW w:type="dxa" w:w="2160"/>
          </w:tcPr>
          <w:p>
            <w:r>
              <w:rPr>
                <w:sz w:val="19"/>
              </w:rPr>
              <w:t>Small</w:t>
            </w:r>
          </w:p>
        </w:tc>
        <w:tc>
          <w:tcPr>
            <w:tcW w:type="dxa" w:w="2160"/>
          </w:tcPr>
          <w:p>
            <w:r>
              <w:rPr>
                <w:sz w:val="19"/>
              </w:rPr>
              <w:t>Review contents; rename activates middleware immediately</w:t>
            </w:r>
          </w:p>
        </w:tc>
      </w:tr>
      <w:tr>
        <w:tc>
          <w:tcPr>
            <w:tcW w:type="dxa" w:w="2160"/>
          </w:tcPr>
          <w:p>
            <w:r>
              <w:rPr>
                <w:sz w:val="19"/>
              </w:rPr>
              <w:t>P2</w:t>
            </w:r>
          </w:p>
        </w:tc>
        <w:tc>
          <w:tcPr>
            <w:tcW w:type="dxa" w:w="2160"/>
          </w:tcPr>
          <w:p>
            <w:r>
              <w:rPr>
                <w:sz w:val="19"/>
              </w:rPr>
              <w:t xml:space="preserve">Fix typo </w:t>
            </w:r>
            <w:r>
              <w:rPr>
                <w:rFonts w:ascii="Courier New" w:hAnsi="Courier New"/>
                <w:sz w:val="20"/>
              </w:rPr>
              <w:t>RegulatorySevices.tsx</w:t>
            </w:r>
            <w:r>
              <w:rPr>
                <w:sz w:val="22"/>
              </w:rPr>
              <w:t xml:space="preserve"> → </w:t>
            </w:r>
            <w:r>
              <w:rPr>
                <w:rFonts w:ascii="Courier New" w:hAnsi="Courier New"/>
                <w:sz w:val="20"/>
              </w:rPr>
              <w:t>RegulatoryServices.tsx</w:t>
            </w:r>
            <w:r>
              <w:rPr>
                <w:sz w:val="22"/>
              </w:rPr>
            </w:r>
          </w:p>
        </w:tc>
        <w:tc>
          <w:tcPr>
            <w:tcW w:type="dxa" w:w="2160"/>
          </w:tcPr>
          <w:p>
            <w:r>
              <w:rPr>
                <w:sz w:val="19"/>
              </w:rPr>
              <w:t>Small</w:t>
            </w:r>
          </w:p>
        </w:tc>
        <w:tc>
          <w:tcPr>
            <w:tcW w:type="dxa" w:w="2160"/>
          </w:tcPr>
          <w:p>
            <w:r>
              <w:rPr>
                <w:sz w:val="19"/>
              </w:rPr>
              <w:t>Update all imports</w:t>
            </w:r>
          </w:p>
        </w:tc>
      </w:tr>
      <w:tr>
        <w:tc>
          <w:tcPr>
            <w:tcW w:type="dxa" w:w="2160"/>
          </w:tcPr>
          <w:p>
            <w:r>
              <w:rPr>
                <w:sz w:val="19"/>
              </w:rPr>
              <w:t>P2</w:t>
            </w:r>
          </w:p>
        </w:tc>
        <w:tc>
          <w:tcPr>
            <w:tcW w:type="dxa" w:w="2160"/>
          </w:tcPr>
          <w:p>
            <w:r>
              <w:rPr>
                <w:sz w:val="19"/>
              </w:rPr>
              <w:t xml:space="preserve">Move </w:t>
            </w:r>
            <w:r>
              <w:rPr>
                <w:rFonts w:ascii="Courier New" w:hAnsi="Courier New"/>
                <w:sz w:val="20"/>
              </w:rPr>
              <w:t>FAQAccordion.tsx</w:t>
            </w:r>
            <w:r>
              <w:rPr>
                <w:sz w:val="22"/>
              </w:rPr>
              <w:t xml:space="preserve"> into </w:t>
            </w:r>
            <w:r>
              <w:rPr>
                <w:rFonts w:ascii="Courier New" w:hAnsi="Courier New"/>
                <w:sz w:val="20"/>
              </w:rPr>
              <w:t>components/ui/</w:t>
            </w:r>
            <w:r>
              <w:rPr>
                <w:sz w:val="22"/>
              </w:rPr>
            </w:r>
          </w:p>
        </w:tc>
        <w:tc>
          <w:tcPr>
            <w:tcW w:type="dxa" w:w="2160"/>
          </w:tcPr>
          <w:p>
            <w:r>
              <w:rPr>
                <w:sz w:val="19"/>
              </w:rPr>
              <w:t>Small</w:t>
            </w:r>
          </w:p>
        </w:tc>
        <w:tc>
          <w:tcPr>
            <w:tcW w:type="dxa" w:w="2160"/>
          </w:tcPr>
          <w:p>
            <w:r>
              <w:rPr>
                <w:sz w:val="19"/>
              </w:rPr>
              <w:t>Update all imports</w:t>
            </w:r>
          </w:p>
        </w:tc>
      </w:tr>
      <w:tr>
        <w:tc>
          <w:tcPr>
            <w:tcW w:type="dxa" w:w="2160"/>
          </w:tcPr>
          <w:p>
            <w:r>
              <w:rPr>
                <w:sz w:val="19"/>
              </w:rPr>
              <w:t>P3</w:t>
            </w:r>
          </w:p>
        </w:tc>
        <w:tc>
          <w:tcPr>
            <w:tcW w:type="dxa" w:w="2160"/>
          </w:tcPr>
          <w:p>
            <w:r>
              <w:rPr>
                <w:sz w:val="19"/>
              </w:rPr>
              <w:t xml:space="preserve">Create </w:t>
            </w:r>
            <w:r>
              <w:rPr>
                <w:rFonts w:ascii="Courier New" w:hAnsi="Courier New"/>
                <w:sz w:val="20"/>
              </w:rPr>
              <w:t>docs/</w:t>
            </w:r>
            <w:r>
              <w:rPr>
                <w:sz w:val="22"/>
              </w:rPr>
              <w:t xml:space="preserve"> and move all </w:t>
            </w:r>
            <w:r>
              <w:rPr>
                <w:rFonts w:ascii="Courier New" w:hAnsi="Courier New"/>
                <w:sz w:val="20"/>
              </w:rPr>
              <w:t>.md</w:t>
            </w:r>
            <w:r>
              <w:rPr>
                <w:sz w:val="22"/>
              </w:rPr>
              <w:t xml:space="preserve"> files</w:t>
            </w:r>
          </w:p>
        </w:tc>
        <w:tc>
          <w:tcPr>
            <w:tcW w:type="dxa" w:w="2160"/>
          </w:tcPr>
          <w:p>
            <w:r>
              <w:rPr>
                <w:sz w:val="19"/>
              </w:rPr>
              <w:t>Medium</w:t>
            </w:r>
          </w:p>
        </w:tc>
        <w:tc>
          <w:tcPr>
            <w:tcW w:type="dxa" w:w="2160"/>
          </w:tcPr>
          <w:p>
            <w:r>
              <w:rPr>
                <w:sz w:val="19"/>
              </w:rPr>
              <w:t>Update any cross-references to file paths</w:t>
            </w:r>
          </w:p>
        </w:tc>
      </w:tr>
      <w:tr>
        <w:tc>
          <w:tcPr>
            <w:tcW w:type="dxa" w:w="2160"/>
          </w:tcPr>
          <w:p>
            <w:r>
              <w:rPr>
                <w:sz w:val="19"/>
              </w:rPr>
              <w:t>P3</w:t>
            </w:r>
          </w:p>
        </w:tc>
        <w:tc>
          <w:tcPr>
            <w:tcW w:type="dxa" w:w="2160"/>
          </w:tcPr>
          <w:p>
            <w:r>
              <w:rPr>
                <w:sz w:val="19"/>
              </w:rPr>
              <w:t xml:space="preserve">Consolidate redirects into </w:t>
            </w:r>
            <w:r>
              <w:rPr>
                <w:rFonts w:ascii="Courier New" w:hAnsi="Courier New"/>
                <w:sz w:val="20"/>
              </w:rPr>
              <w:t>next.config.js</w:t>
            </w:r>
            <w:r>
              <w:rPr>
                <w:sz w:val="22"/>
              </w:rPr>
            </w:r>
          </w:p>
        </w:tc>
        <w:tc>
          <w:tcPr>
            <w:tcW w:type="dxa" w:w="2160"/>
          </w:tcPr>
          <w:p>
            <w:r>
              <w:rPr>
                <w:sz w:val="19"/>
              </w:rPr>
              <w:t>Medium</w:t>
            </w:r>
          </w:p>
        </w:tc>
        <w:tc>
          <w:tcPr>
            <w:tcW w:type="dxa" w:w="2160"/>
          </w:tcPr>
          <w:p>
            <w:r>
              <w:rPr>
                <w:sz w:val="19"/>
              </w:rPr>
              <w:t>Test all 17 redirects after migration</w:t>
            </w:r>
          </w:p>
        </w:tc>
      </w:tr>
    </w:tbl>
    <w:p/>
    <w:p/>
    <w:p>
      <w:pPr>
        <w:pStyle w:val="Heading2"/>
      </w:pPr>
      <w:r>
        <w:rPr>
          <w:color w:val="1E40AF"/>
          <w:sz w:val="30"/>
        </w:rPr>
        <w:t>Changes NOT Recommended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Change</w:t>
            </w:r>
          </w:p>
        </w:tc>
        <w:tc>
          <w:tcPr>
            <w:tcW w:type="dxa" w:w="4320"/>
          </w:tcPr>
          <w:p>
            <w:r>
              <w:rPr>
                <w:b/>
                <w:sz w:val="19"/>
              </w:rPr>
              <w:t>Reason not recommended</w:t>
            </w:r>
          </w:p>
        </w:tc>
      </w:tr>
      <w:tr>
        <w:tc>
          <w:tcPr>
            <w:tcW w:type="dxa" w:w="4320"/>
          </w:tcPr>
          <w:p>
            <w:r>
              <w:rPr>
                <w:sz w:val="19"/>
              </w:rPr>
              <w:t xml:space="preserve">Splitting </w:t>
            </w:r>
            <w:r>
              <w:rPr>
                <w:rFonts w:ascii="Courier New" w:hAnsi="Courier New"/>
                <w:sz w:val="20"/>
              </w:rPr>
              <w:t>lib/</w:t>
            </w:r>
            <w:r>
              <w:rPr>
                <w:sz w:val="22"/>
              </w:rPr>
              <w:t xml:space="preserve"> into </w:t>
            </w:r>
            <w:r>
              <w:rPr>
                <w:rFonts w:ascii="Courier New" w:hAnsi="Courier New"/>
                <w:sz w:val="20"/>
              </w:rPr>
              <w:t>lib/</w:t>
            </w:r>
            <w:r>
              <w:rPr>
                <w:sz w:val="22"/>
              </w:rPr>
              <w:t xml:space="preserve"> + </w:t>
            </w:r>
            <w:r>
              <w:rPr>
                <w:rFonts w:ascii="Courier New" w:hAnsi="Courier New"/>
                <w:sz w:val="20"/>
              </w:rPr>
              <w:t>models/</w:t>
            </w:r>
            <w:r>
              <w:rPr>
                <w:sz w:val="22"/>
              </w:rPr>
              <w:t xml:space="preserve"> at root</w:t>
            </w:r>
          </w:p>
        </w:tc>
        <w:tc>
          <w:tcPr>
            <w:tcW w:type="dxa" w:w="4320"/>
          </w:tcPr>
          <w:p>
            <w:r>
              <w:rPr>
                <w:sz w:val="19"/>
              </w:rPr>
              <w:t xml:space="preserve">Models are already well-organized in </w:t>
            </w:r>
            <w:r>
              <w:rPr>
                <w:rFonts w:ascii="Courier New" w:hAnsi="Courier New"/>
                <w:sz w:val="20"/>
              </w:rPr>
              <w:t>lib/models/</w:t>
            </w:r>
            <w:r>
              <w:rPr>
                <w:sz w:val="22"/>
              </w:rPr>
              <w:t xml:space="preserve">; a second </w:t>
            </w:r>
            <w:r>
              <w:rPr>
                <w:rFonts w:ascii="Courier New" w:hAnsi="Courier New"/>
                <w:sz w:val="20"/>
              </w:rPr>
              <w:t>models/</w:t>
            </w:r>
            <w:r>
              <w:rPr>
                <w:sz w:val="22"/>
              </w:rPr>
              <w:t xml:space="preserve"> folder at root would create confusion</w:t>
            </w:r>
          </w:p>
        </w:tc>
      </w:tr>
      <w:tr>
        <w:tc>
          <w:tcPr>
            <w:tcW w:type="dxa" w:w="4320"/>
          </w:tcPr>
          <w:p>
            <w:r>
              <w:rPr>
                <w:sz w:val="19"/>
              </w:rPr>
              <w:t xml:space="preserve">Introducing </w:t>
            </w:r>
            <w:r>
              <w:rPr>
                <w:rFonts w:ascii="Courier New" w:hAnsi="Courier New"/>
                <w:sz w:val="20"/>
              </w:rPr>
              <w:t>src/</w:t>
            </w:r>
            <w:r>
              <w:rPr>
                <w:sz w:val="22"/>
              </w:rPr>
              <w:t xml:space="preserve"> directory</w:t>
            </w:r>
          </w:p>
        </w:tc>
        <w:tc>
          <w:tcPr>
            <w:tcW w:type="dxa" w:w="4320"/>
          </w:tcPr>
          <w:p>
            <w:r>
              <w:rPr>
                <w:sz w:val="19"/>
              </w:rPr>
              <w:t>Would require updating every import path; no functional benefit</w:t>
            </w:r>
          </w:p>
        </w:tc>
      </w:tr>
      <w:tr>
        <w:tc>
          <w:tcPr>
            <w:tcW w:type="dxa" w:w="4320"/>
          </w:tcPr>
          <w:p>
            <w:r>
              <w:rPr>
                <w:sz w:val="19"/>
              </w:rPr>
              <w:t xml:space="preserve">Moving </w:t>
            </w:r>
            <w:r>
              <w:rPr>
                <w:rFonts w:ascii="Courier New" w:hAnsi="Courier New"/>
                <w:sz w:val="20"/>
              </w:rPr>
              <w:t>scripts/</w:t>
            </w:r>
            <w:r>
              <w:rPr>
                <w:sz w:val="22"/>
              </w:rPr>
              <w:t xml:space="preserve"> into </w:t>
            </w:r>
            <w:r>
              <w:rPr>
                <w:rFonts w:ascii="Courier New" w:hAnsi="Courier New"/>
                <w:sz w:val="20"/>
              </w:rPr>
              <w:t>lib/</w:t>
            </w:r>
            <w:r>
              <w:rPr>
                <w:sz w:val="22"/>
              </w:rPr>
            </w:r>
          </w:p>
        </w:tc>
        <w:tc>
          <w:tcPr>
            <w:tcW w:type="dxa" w:w="4320"/>
          </w:tcPr>
          <w:p>
            <w:r>
              <w:rPr>
                <w:sz w:val="19"/>
              </w:rPr>
              <w:t>Scripts are not part of the Next.js app; keeping them separate is correct</w:t>
            </w:r>
          </w:p>
        </w:tc>
      </w:tr>
      <w:tr>
        <w:tc>
          <w:tcPr>
            <w:tcW w:type="dxa" w:w="4320"/>
          </w:tcPr>
          <w:p>
            <w:r>
              <w:rPr>
                <w:sz w:val="19"/>
              </w:rPr>
              <w:t xml:space="preserve">Removing </w:t>
            </w:r>
            <w:r>
              <w:rPr>
                <w:rFonts w:ascii="Courier New" w:hAnsi="Courier New"/>
                <w:sz w:val="20"/>
              </w:rPr>
              <w:t>AGENTS.md</w:t>
            </w:r>
            <w:r>
              <w:rPr>
                <w:sz w:val="22"/>
              </w:rPr>
            </w:r>
          </w:p>
        </w:tc>
        <w:tc>
          <w:tcPr>
            <w:tcW w:type="dxa" w:w="4320"/>
          </w:tcPr>
          <w:p>
            <w:r>
              <w:rPr>
                <w:sz w:val="19"/>
              </w:rPr>
              <w:t>Some older agent workflows may reference it; supersede gradually</w:t>
            </w:r>
          </w:p>
        </w:tc>
      </w:tr>
      <w:tr>
        <w:tc>
          <w:tcPr>
            <w:tcW w:type="dxa" w:w="4320"/>
          </w:tcPr>
          <w:p>
            <w:r>
              <w:rPr>
                <w:sz w:val="19"/>
              </w:rPr>
              <w:t xml:space="preserve">Moving </w:t>
            </w:r>
            <w:r>
              <w:rPr>
                <w:rFonts w:ascii="Courier New" w:hAnsi="Courier New"/>
                <w:sz w:val="20"/>
              </w:rPr>
              <w:t>vercel.json</w:t>
            </w:r>
            <w:r>
              <w:rPr>
                <w:sz w:val="22"/>
              </w:rPr>
              <w:t xml:space="preserve"> into a config subfolder</w:t>
            </w:r>
          </w:p>
        </w:tc>
        <w:tc>
          <w:tcPr>
            <w:tcW w:type="dxa" w:w="4320"/>
          </w:tcPr>
          <w:p>
            <w:r>
              <w:rPr>
                <w:sz w:val="19"/>
              </w:rPr>
              <w:t>Vercel requires it at the root</w:t>
            </w:r>
          </w:p>
        </w:tc>
      </w:tr>
      <w:tr>
        <w:tc>
          <w:tcPr>
            <w:tcW w:type="dxa" w:w="4320"/>
          </w:tcPr>
          <w:p>
            <w:r>
              <w:rPr>
                <w:sz w:val="19"/>
              </w:rPr>
              <w:t xml:space="preserve">Moving </w:t>
            </w:r>
            <w:r>
              <w:rPr>
                <w:rFonts w:ascii="Courier New" w:hAnsi="Courier New"/>
                <w:sz w:val="20"/>
              </w:rPr>
              <w:t>next.config.js</w:t>
            </w:r>
            <w:r>
              <w:rPr>
                <w:sz w:val="22"/>
              </w:rPr>
              <w:t xml:space="preserve"> into a config subfolder</w:t>
            </w:r>
          </w:p>
        </w:tc>
        <w:tc>
          <w:tcPr>
            <w:tcW w:type="dxa" w:w="4320"/>
          </w:tcPr>
          <w:p>
            <w:r>
              <w:rPr>
                <w:sz w:val="19"/>
              </w:rPr>
              <w:t>Next.js requires it at the root</w:t>
            </w:r>
          </w:p>
        </w:tc>
      </w:tr>
    </w:tbl>
    <w:p/>
    <w:p>
      <w:r>
        <w:br w:type="page"/>
      </w:r>
    </w:p>
    <w:p>
      <w:pPr>
        <w:pStyle w:val="Heading1"/>
      </w:pPr>
      <w:r>
        <w:rPr>
          <w:color w:val="1A56DB"/>
          <w:sz w:val="40"/>
        </w:rPr>
        <w:t>Estabizz — Folder Cleanup Plan</w:t>
      </w:r>
    </w:p>
    <w:p>
      <w:pPr>
        <w:ind w:left="360"/>
      </w:pPr>
      <w:r>
        <w:rPr>
          <w:i/>
          <w:color w:val="555555"/>
          <w:sz w:val="20"/>
        </w:rPr>
        <w:t>Created: 2026-07-22 · Branch: **main** (confirmed) · Audit commit: **73f04af**</w:t>
      </w:r>
    </w:p>
    <w:p>
      <w:pPr>
        <w:ind w:left="360"/>
      </w:pPr>
      <w:r>
        <w:rPr>
          <w:i/>
          <w:color w:val="555555"/>
          <w:sz w:val="20"/>
        </w:rPr>
        <w:t>Each action below is safe and reversible. No action here modifies routes, API behaviour, database data, or authentication. All code changes require a TypeScript check before committing.</w:t>
      </w:r>
    </w:p>
    <w:p/>
    <w:p>
      <w:pPr>
        <w:pStyle w:val="Heading2"/>
      </w:pPr>
      <w:r>
        <w:rPr>
          <w:color w:val="1E40AF"/>
          <w:sz w:val="30"/>
        </w:rPr>
        <w:t>Constraints (Never Break These)</w:t>
      </w:r>
    </w:p>
    <w:p>
      <w:pPr>
        <w:pStyle w:val="ListBullet"/>
      </w:pPr>
      <w:r>
        <w:rPr>
          <w:sz w:val="22"/>
        </w:rPr>
        <w:t>Do not move files unless all imports referencing that file are also updated in the same commit.</w:t>
      </w:r>
    </w:p>
    <w:p>
      <w:pPr>
        <w:pStyle w:val="ListBullet"/>
      </w:pPr>
      <w:r>
        <w:rPr>
          <w:sz w:val="22"/>
        </w:rPr>
        <w:t xml:space="preserve">Do not delete redirect-only route files without first adding equivalent redirects to </w:t>
      </w:r>
      <w:r>
        <w:rPr>
          <w:rFonts w:ascii="Courier New" w:hAnsi="Courier New"/>
          <w:sz w:val="22"/>
        </w:rPr>
        <w:t>next.config.js</w:t>
      </w:r>
      <w:r>
        <w:rPr>
          <w:sz w:val="22"/>
        </w:rPr>
        <w:t>.</w:t>
      </w:r>
    </w:p>
    <w:p>
      <w:pPr>
        <w:pStyle w:val="ListBullet"/>
      </w:pPr>
      <w:r>
        <w:rPr>
          <w:sz w:val="22"/>
        </w:rPr>
        <w:t xml:space="preserve">Do not rename </w:t>
      </w:r>
      <w:r>
        <w:rPr>
          <w:rFonts w:ascii="Courier New" w:hAnsi="Courier New"/>
          <w:sz w:val="22"/>
        </w:rPr>
        <w:t>proxy.ts</w:t>
      </w:r>
      <w:r>
        <w:rPr>
          <w:sz w:val="22"/>
        </w:rPr>
        <w:t xml:space="preserve"> without reading and verifying its contents — renaming to </w:t>
      </w:r>
      <w:r>
        <w:rPr>
          <w:rFonts w:ascii="Courier New" w:hAnsi="Courier New"/>
          <w:sz w:val="22"/>
        </w:rPr>
        <w:t>middleware.ts</w:t>
      </w:r>
      <w:r>
        <w:rPr>
          <w:sz w:val="22"/>
        </w:rPr>
        <w:t xml:space="preserve"> immediately activates the middleware on all requests.</w:t>
      </w:r>
    </w:p>
    <w:p>
      <w:pPr>
        <w:pStyle w:val="ListBullet"/>
      </w:pPr>
      <w:r>
        <w:rPr>
          <w:sz w:val="22"/>
        </w:rPr>
        <w:t xml:space="preserve">Do not modify </w:t>
      </w:r>
      <w:r>
        <w:rPr>
          <w:rFonts w:ascii="Courier New" w:hAnsi="Courier New"/>
          <w:sz w:val="22"/>
        </w:rPr>
        <w:t>.env.local</w:t>
      </w:r>
      <w:r>
        <w:rPr>
          <w:sz w:val="22"/>
        </w:rPr>
        <w:t xml:space="preserve"> or any environment variable.</w:t>
      </w:r>
    </w:p>
    <w:p>
      <w:pPr>
        <w:pStyle w:val="ListBullet"/>
      </w:pPr>
      <w:r>
        <w:rPr>
          <w:sz w:val="22"/>
        </w:rPr>
        <w:t>Do not push or deploy — only commit locally unless explicitly asked.</w:t>
      </w:r>
    </w:p>
    <w:p/>
    <w:p>
      <w:pPr>
        <w:pStyle w:val="Heading2"/>
      </w:pPr>
      <w:r>
        <w:rPr>
          <w:color w:val="1E40AF"/>
          <w:sz w:val="30"/>
        </w:rPr>
        <w:t>Phase 1 — Gitignore Fixes (Zero Risk, Do First)</w:t>
      </w:r>
    </w:p>
    <w:p>
      <w:pPr>
        <w:pStyle w:val="Heading3"/>
      </w:pPr>
      <w:r>
        <w:rPr>
          <w:color w:val="1D4E89"/>
          <w:sz w:val="26"/>
        </w:rPr>
        <w:t>Action 1.1 — Add `tsconfig.tsbuildinfo` to `.gitignore`</w:t>
      </w:r>
    </w:p>
    <w:p>
      <w:r>
        <w:rPr>
          <w:sz w:val="22"/>
        </w:rPr>
      </w:r>
      <w:r>
        <w:rPr>
          <w:b/>
          <w:sz w:val="22"/>
        </w:rPr>
        <w:t>Why</w:t>
      </w:r>
      <w:r>
        <w:rPr>
          <w:sz w:val="22"/>
        </w:rPr>
        <w:t>: The TypeScript incremental build cache is 300 KB, changes on every build, and has no value in version history.</w:t>
      </w:r>
    </w:p>
    <w:p>
      <w:r>
        <w:rPr>
          <w:sz w:val="22"/>
        </w:rPr>
      </w:r>
      <w:r>
        <w:rPr>
          <w:b/>
          <w:sz w:val="22"/>
        </w:rPr>
        <w:t>Steps</w:t>
      </w:r>
      <w:r>
        <w:rPr>
          <w:sz w:val="22"/>
        </w:rPr>
        <w:t>:</w:t>
      </w:r>
    </w:p>
    <w:p>
      <w:pPr>
        <w:pStyle w:val="ListNumber"/>
      </w:pPr>
      <w:r>
        <w:rPr>
          <w:sz w:val="22"/>
        </w:rPr>
        <w:t xml:space="preserve">Open </w:t>
      </w:r>
      <w:r>
        <w:rPr>
          <w:rFonts w:ascii="Courier New" w:hAnsi="Courier New"/>
          <w:sz w:val="22"/>
        </w:rPr>
        <w:t>.gitignore</w:t>
      </w:r>
      <w:r>
        <w:rPr>
          <w:sz w:val="22"/>
        </w:rPr>
      </w:r>
    </w:p>
    <w:p>
      <w:pPr>
        <w:pStyle w:val="ListNumber"/>
      </w:pPr>
      <w:r>
        <w:rPr>
          <w:sz w:val="22"/>
        </w:rPr>
        <w:t xml:space="preserve">Add a new line: </w:t>
      </w:r>
      <w:r>
        <w:rPr>
          <w:rFonts w:ascii="Courier New" w:hAnsi="Courier New"/>
          <w:sz w:val="22"/>
        </w:rPr>
        <w:t>tsconfig.tsbuildinfo</w:t>
      </w:r>
      <w:r>
        <w:rPr>
          <w:sz w:val="22"/>
        </w:rPr>
      </w:r>
    </w:p>
    <w:p>
      <w:pPr>
        <w:pStyle w:val="ListNumber"/>
      </w:pPr>
      <w:r>
        <w:rPr>
          <w:sz w:val="22"/>
        </w:rPr>
        <w:t xml:space="preserve">Run </w:t>
      </w:r>
      <w:r>
        <w:rPr>
          <w:rFonts w:ascii="Courier New" w:hAnsi="Courier New"/>
          <w:sz w:val="22"/>
        </w:rPr>
        <w:t>git rm --cached tsconfig.tsbuildinfo</w:t>
      </w:r>
      <w:r>
        <w:rPr>
          <w:sz w:val="22"/>
        </w:rPr>
        <w:t xml:space="preserve"> to untrack it without deleting it locally</w:t>
      </w:r>
    </w:p>
    <w:p>
      <w:pPr>
        <w:pStyle w:val="ListNumber"/>
      </w:pPr>
      <w:r>
        <w:rPr>
          <w:sz w:val="22"/>
        </w:rPr>
        <w:t xml:space="preserve">Commit: </w:t>
      </w:r>
      <w:r>
        <w:rPr>
          <w:rFonts w:ascii="Courier New" w:hAnsi="Courier New"/>
          <w:sz w:val="22"/>
        </w:rPr>
        <w:t>Chore: gitignore tsconfig.tsbuildinfo</w:t>
      </w:r>
      <w:r>
        <w:rPr>
          <w:sz w:val="22"/>
        </w:rPr>
      </w:r>
    </w:p>
    <w:p>
      <w:pPr>
        <w:pStyle w:val="ListNumber"/>
      </w:pPr>
      <w:r>
        <w:rPr>
          <w:sz w:val="22"/>
        </w:rPr>
        <w:t xml:space="preserve">Run </w:t>
      </w:r>
      <w:r>
        <w:rPr>
          <w:rFonts w:ascii="Courier New" w:hAnsi="Courier New"/>
          <w:sz w:val="22"/>
        </w:rPr>
        <w:t>npx tsc --noEmit</w:t>
      </w:r>
      <w:r>
        <w:rPr>
          <w:sz w:val="22"/>
        </w:rPr>
        <w:t xml:space="preserve"> — confirm it still exits 0 and regenerates the file</w:t>
      </w:r>
    </w:p>
    <w:p/>
    <w:p>
      <w:pPr>
        <w:pStyle w:val="Heading3"/>
      </w:pPr>
      <w:r>
        <w:rPr>
          <w:color w:val="1D4E89"/>
          <w:sz w:val="26"/>
        </w:rPr>
        <w:t>Action 1.2 — Add generated/binary files to `.gitignore`</w:t>
      </w:r>
    </w:p>
    <w:p>
      <w:r>
        <w:rPr>
          <w:sz w:val="22"/>
        </w:rPr>
      </w:r>
      <w:r>
        <w:rPr>
          <w:b/>
          <w:sz w:val="22"/>
        </w:rPr>
        <w:t>Why</w:t>
      </w:r>
      <w:r>
        <w:rPr>
          <w:sz w:val="22"/>
        </w:rPr>
        <w:t xml:space="preserve">: </w:t>
      </w:r>
      <w:r>
        <w:rPr>
          <w:rFonts w:ascii="Courier New" w:hAnsi="Courier New"/>
          <w:sz w:val="20"/>
        </w:rPr>
        <w:t>Estabizz_Project_Documentation.docx</w:t>
      </w:r>
      <w:r>
        <w:rPr>
          <w:sz w:val="22"/>
        </w:rPr>
        <w:t xml:space="preserve"> is a generated Word file that should not be tracked in git.</w:t>
      </w:r>
    </w:p>
    <w:p>
      <w:r>
        <w:rPr>
          <w:sz w:val="22"/>
        </w:rPr>
      </w:r>
      <w:r>
        <w:rPr>
          <w:b/>
          <w:sz w:val="22"/>
        </w:rPr>
        <w:t>Steps</w:t>
      </w:r>
      <w:r>
        <w:rPr>
          <w:sz w:val="22"/>
        </w:rPr>
        <w:t>:</w:t>
      </w:r>
    </w:p>
    <w:p>
      <w:pPr>
        <w:pStyle w:val="ListNumber"/>
      </w:pPr>
      <w:r>
        <w:rPr>
          <w:sz w:val="22"/>
        </w:rPr>
        <w:t xml:space="preserve">Open </w:t>
      </w:r>
      <w:r>
        <w:rPr>
          <w:rFonts w:ascii="Courier New" w:hAnsi="Courier New"/>
          <w:sz w:val="22"/>
        </w:rPr>
        <w:t>.gitignore</w:t>
      </w:r>
      <w:r>
        <w:rPr>
          <w:sz w:val="22"/>
        </w:rPr>
      </w:r>
    </w:p>
    <w:p>
      <w:pPr>
        <w:pStyle w:val="ListNumber"/>
      </w:pPr>
      <w:r>
        <w:rPr>
          <w:sz w:val="22"/>
        </w:rPr>
        <w:t xml:space="preserve">Add: </w:t>
      </w:r>
      <w:r>
        <w:rPr>
          <w:rFonts w:ascii="Courier New" w:hAnsi="Courier New"/>
          <w:sz w:val="22"/>
        </w:rPr>
        <w:t>Estabizz_Project_Documentation.docx</w:t>
      </w:r>
      <w:r>
        <w:rPr>
          <w:sz w:val="22"/>
        </w:rPr>
      </w:r>
    </w:p>
    <w:p>
      <w:pPr>
        <w:pStyle w:val="ListNumber"/>
      </w:pPr>
      <w:r>
        <w:rPr>
          <w:sz w:val="22"/>
        </w:rPr>
        <w:t xml:space="preserve">Also consider: </w:t>
      </w:r>
      <w:r>
        <w:rPr>
          <w:rFonts w:ascii="Courier New" w:hAnsi="Courier New"/>
          <w:sz w:val="22"/>
        </w:rPr>
        <w:t>*.docx</w:t>
      </w:r>
      <w:r>
        <w:rPr>
          <w:sz w:val="22"/>
        </w:rPr>
        <w:t xml:space="preserve"> as a blanket rule for future generated Word files</w:t>
      </w:r>
    </w:p>
    <w:p>
      <w:pPr>
        <w:pStyle w:val="ListNumber"/>
      </w:pPr>
      <w:r>
        <w:rPr>
          <w:sz w:val="22"/>
        </w:rPr>
        <w:t xml:space="preserve">Commit: </w:t>
      </w:r>
      <w:r>
        <w:rPr>
          <w:rFonts w:ascii="Courier New" w:hAnsi="Courier New"/>
          <w:sz w:val="22"/>
        </w:rPr>
        <w:t>Chore: gitignore generated Word documentation file</w:t>
      </w:r>
      <w:r>
        <w:rPr>
          <w:sz w:val="22"/>
        </w:rPr>
      </w:r>
    </w:p>
    <w:p/>
    <w:p>
      <w:pPr>
        <w:pStyle w:val="Heading2"/>
      </w:pPr>
      <w:r>
        <w:rPr>
          <w:color w:val="1E40AF"/>
          <w:sz w:val="30"/>
        </w:rPr>
        <w:t>Phase 2 — Delete Empty and Legacy Files (Minimal Risk)</w:t>
      </w:r>
    </w:p>
    <w:p>
      <w:pPr>
        <w:pStyle w:val="Heading3"/>
      </w:pPr>
      <w:r>
        <w:rPr>
          <w:color w:val="1D4E89"/>
          <w:sz w:val="26"/>
        </w:rPr>
        <w:t>Action 2.1 — Delete `lib/blog/sampleBlogs.ts`</w:t>
      </w:r>
    </w:p>
    <w:p>
      <w:r>
        <w:rPr>
          <w:sz w:val="22"/>
        </w:rPr>
      </w:r>
      <w:r>
        <w:rPr>
          <w:b/>
          <w:sz w:val="22"/>
        </w:rPr>
        <w:t>Why</w:t>
      </w:r>
      <w:r>
        <w:rPr>
          <w:sz w:val="22"/>
        </w:rPr>
        <w:t>: The file exports an empty array and is not imported anywhere in the active app.</w:t>
      </w:r>
    </w:p>
    <w:p>
      <w:r>
        <w:rPr>
          <w:sz w:val="22"/>
        </w:rPr>
      </w:r>
      <w:r>
        <w:rPr>
          <w:b/>
          <w:sz w:val="22"/>
        </w:rPr>
        <w:t>Verify first</w:t>
      </w:r>
      <w:r>
        <w:rPr>
          <w:sz w:val="22"/>
        </w:rPr>
        <w:t>:</w:t>
      </w:r>
    </w:p>
    <w:p>
      <w:pPr>
        <w:spacing w:before="80" w:after="80"/>
        <w:ind w:left="432"/>
        <w:shd w:val="clear" w:color="auto" w:fill="F0F0F0"/>
      </w:pPr>
      <w:r>
        <w:rPr>
          <w:rFonts w:ascii="Courier New" w:hAnsi="Courier New"/>
          <w:sz w:val="17"/>
        </w:rPr>
        <w:t>grep -r "sampleBlogs" app lib components --include="*.ts" --include="*.tsx"</w:t>
      </w:r>
    </w:p>
    <w:p>
      <w:r>
        <w:rPr>
          <w:sz w:val="22"/>
        </w:rPr>
        <w:t>This must return zero results before deleting.</w:t>
      </w:r>
    </w:p>
    <w:p>
      <w:r>
        <w:rPr>
          <w:sz w:val="22"/>
        </w:rPr>
      </w:r>
      <w:r>
        <w:rPr>
          <w:b/>
          <w:sz w:val="22"/>
        </w:rPr>
        <w:t>Steps</w:t>
      </w:r>
      <w:r>
        <w:rPr>
          <w:sz w:val="22"/>
        </w:rPr>
        <w:t>:</w:t>
      </w:r>
    </w:p>
    <w:p>
      <w:pPr>
        <w:pStyle w:val="ListNumber"/>
      </w:pPr>
      <w:r>
        <w:rPr>
          <w:sz w:val="22"/>
        </w:rPr>
        <w:t>Run the grep above to confirm no imports</w:t>
      </w:r>
    </w:p>
    <w:p>
      <w:pPr>
        <w:pStyle w:val="ListNumber"/>
      </w:pPr>
      <w:r>
        <w:rPr>
          <w:sz w:val="22"/>
        </w:rPr>
        <w:t xml:space="preserve">Delete </w:t>
      </w:r>
      <w:r>
        <w:rPr>
          <w:rFonts w:ascii="Courier New" w:hAnsi="Courier New"/>
          <w:sz w:val="22"/>
        </w:rPr>
        <w:t>lib/blog/sampleBlogs.ts</w:t>
      </w:r>
      <w:r>
        <w:rPr>
          <w:sz w:val="22"/>
        </w:rPr>
      </w:r>
    </w:p>
    <w:p>
      <w:pPr>
        <w:pStyle w:val="ListNumber"/>
      </w:pPr>
      <w:r>
        <w:rPr>
          <w:sz w:val="22"/>
        </w:rPr>
        <w:t xml:space="preserve">Run </w:t>
      </w:r>
      <w:r>
        <w:rPr>
          <w:rFonts w:ascii="Courier New" w:hAnsi="Courier New"/>
          <w:sz w:val="22"/>
        </w:rPr>
        <w:t>npx tsc --noEmit</w:t>
      </w:r>
      <w:r>
        <w:rPr>
          <w:sz w:val="22"/>
        </w:rPr>
        <w:t xml:space="preserve"> — must pass</w:t>
      </w:r>
    </w:p>
    <w:p>
      <w:pPr>
        <w:pStyle w:val="ListNumber"/>
      </w:pPr>
      <w:r>
        <w:rPr>
          <w:sz w:val="22"/>
        </w:rPr>
        <w:t xml:space="preserve">Commit: </w:t>
      </w:r>
      <w:r>
        <w:rPr>
          <w:rFonts w:ascii="Courier New" w:hAnsi="Courier New"/>
          <w:sz w:val="22"/>
        </w:rPr>
        <w:t>Chore: remove empty sampleBlogs legacy file</w:t>
      </w:r>
      <w:r>
        <w:rPr>
          <w:sz w:val="22"/>
        </w:rPr>
      </w:r>
    </w:p>
    <w:p/>
    <w:p>
      <w:pPr>
        <w:pStyle w:val="Heading3"/>
      </w:pPr>
      <w:r>
        <w:rPr>
          <w:color w:val="1D4E89"/>
          <w:sz w:val="26"/>
        </w:rPr>
        <w:t>Action 2.2 — Delete `lib/regulatoryUpdates.ts`</w:t>
      </w:r>
    </w:p>
    <w:p>
      <w:r>
        <w:rPr>
          <w:sz w:val="22"/>
        </w:rPr>
      </w:r>
      <w:r>
        <w:rPr>
          <w:b/>
          <w:sz w:val="22"/>
        </w:rPr>
        <w:t>Why</w:t>
      </w:r>
      <w:r>
        <w:rPr>
          <w:sz w:val="22"/>
        </w:rPr>
        <w:t xml:space="preserve">: Large static data file superseded by the MongoDB </w:t>
      </w:r>
      <w:r>
        <w:rPr>
          <w:rFonts w:ascii="Courier New" w:hAnsi="Courier New"/>
          <w:sz w:val="20"/>
        </w:rPr>
        <w:t>RegulatoryUpdate</w:t>
      </w:r>
      <w:r>
        <w:rPr>
          <w:sz w:val="22"/>
        </w:rPr>
        <w:t xml:space="preserve"> model. Not imported anywhere in the active app.</w:t>
      </w:r>
    </w:p>
    <w:p>
      <w:r>
        <w:rPr>
          <w:sz w:val="22"/>
        </w:rPr>
      </w:r>
      <w:r>
        <w:rPr>
          <w:b/>
          <w:sz w:val="22"/>
        </w:rPr>
        <w:t>Verify first</w:t>
      </w:r>
      <w:r>
        <w:rPr>
          <w:sz w:val="22"/>
        </w:rPr>
        <w:t>:</w:t>
      </w:r>
    </w:p>
    <w:p>
      <w:pPr>
        <w:spacing w:before="80" w:after="80"/>
        <w:ind w:left="432"/>
        <w:shd w:val="clear" w:color="auto" w:fill="F0F0F0"/>
      </w:pPr>
      <w:r>
        <w:rPr>
          <w:rFonts w:ascii="Courier New" w:hAnsi="Courier New"/>
          <w:sz w:val="17"/>
        </w:rPr>
        <w:t>grep -r "regulatoryUpdates\b" app lib components scripts --include="*.ts" --include="*.tsx" --include="*.mjs"</w:t>
      </w:r>
    </w:p>
    <w:p>
      <w:r>
        <w:rPr>
          <w:sz w:val="22"/>
        </w:rPr>
        <w:t>This must return zero results (or only results pointing to this file itself) before deleting.</w:t>
      </w:r>
    </w:p>
    <w:p>
      <w:r>
        <w:rPr>
          <w:sz w:val="22"/>
        </w:rPr>
      </w:r>
      <w:r>
        <w:rPr>
          <w:b/>
          <w:sz w:val="22"/>
        </w:rPr>
        <w:t>Steps</w:t>
      </w:r>
      <w:r>
        <w:rPr>
          <w:sz w:val="22"/>
        </w:rPr>
        <w:t>:</w:t>
      </w:r>
    </w:p>
    <w:p>
      <w:pPr>
        <w:pStyle w:val="ListNumber"/>
      </w:pPr>
      <w:r>
        <w:rPr>
          <w:sz w:val="22"/>
        </w:rPr>
        <w:t>Run the grep above</w:t>
      </w:r>
    </w:p>
    <w:p>
      <w:pPr>
        <w:pStyle w:val="ListNumber"/>
      </w:pPr>
      <w:r>
        <w:rPr>
          <w:sz w:val="22"/>
        </w:rPr>
        <w:t xml:space="preserve">Delete </w:t>
      </w:r>
      <w:r>
        <w:rPr>
          <w:rFonts w:ascii="Courier New" w:hAnsi="Courier New"/>
          <w:sz w:val="22"/>
        </w:rPr>
        <w:t>lib/regulatoryUpdates.ts</w:t>
      </w:r>
      <w:r>
        <w:rPr>
          <w:sz w:val="22"/>
        </w:rPr>
      </w:r>
    </w:p>
    <w:p>
      <w:pPr>
        <w:pStyle w:val="ListNumber"/>
      </w:pPr>
      <w:r>
        <w:rPr>
          <w:sz w:val="22"/>
        </w:rPr>
        <w:t xml:space="preserve">Run </w:t>
      </w:r>
      <w:r>
        <w:rPr>
          <w:rFonts w:ascii="Courier New" w:hAnsi="Courier New"/>
          <w:sz w:val="22"/>
        </w:rPr>
        <w:t>npx tsc --noEmit</w:t>
      </w:r>
      <w:r>
        <w:rPr>
          <w:sz w:val="22"/>
        </w:rPr>
        <w:t xml:space="preserve"> — must pass</w:t>
      </w:r>
    </w:p>
    <w:p>
      <w:pPr>
        <w:pStyle w:val="ListNumber"/>
      </w:pPr>
      <w:r>
        <w:rPr>
          <w:sz w:val="22"/>
        </w:rPr>
        <w:t xml:space="preserve">Commit: </w:t>
      </w:r>
      <w:r>
        <w:rPr>
          <w:rFonts w:ascii="Courier New" w:hAnsi="Courier New"/>
          <w:sz w:val="22"/>
        </w:rPr>
        <w:t>Chore: remove legacy regulatoryUpdates static data file</w:t>
      </w:r>
      <w:r>
        <w:rPr>
          <w:sz w:val="22"/>
        </w:rPr>
      </w:r>
    </w:p>
    <w:p/>
    <w:p>
      <w:pPr>
        <w:pStyle w:val="Heading3"/>
      </w:pPr>
      <w:r>
        <w:rPr>
          <w:color w:val="1D4E89"/>
          <w:sz w:val="26"/>
        </w:rPr>
        <w:t>Action 2.3 — Delete `scratch/` directory</w:t>
      </w:r>
    </w:p>
    <w:p>
      <w:r>
        <w:rPr>
          <w:sz w:val="22"/>
        </w:rPr>
      </w:r>
      <w:r>
        <w:rPr>
          <w:b/>
          <w:sz w:val="22"/>
        </w:rPr>
        <w:t>Why</w:t>
      </w:r>
      <w:r>
        <w:rPr>
          <w:sz w:val="22"/>
        </w:rPr>
        <w:t>: The directory is completely empty and serves no purpose.</w:t>
      </w:r>
    </w:p>
    <w:p>
      <w:r>
        <w:rPr>
          <w:sz w:val="22"/>
        </w:rPr>
      </w:r>
      <w:r>
        <w:rPr>
          <w:b/>
          <w:sz w:val="22"/>
        </w:rPr>
        <w:t>Steps</w:t>
      </w:r>
      <w:r>
        <w:rPr>
          <w:sz w:val="22"/>
        </w:rPr>
        <w:t>:</w:t>
      </w:r>
    </w:p>
    <w:p>
      <w:pPr>
        <w:pStyle w:val="ListNumber"/>
      </w:pPr>
      <w:r>
        <w:rPr>
          <w:sz w:val="22"/>
        </w:rPr>
        <w:t xml:space="preserve">Confirm: </w:t>
      </w:r>
      <w:r>
        <w:rPr>
          <w:rFonts w:ascii="Courier New" w:hAnsi="Courier New"/>
          <w:sz w:val="22"/>
        </w:rPr>
        <w:t>ls scratch/</w:t>
      </w:r>
      <w:r>
        <w:rPr>
          <w:sz w:val="22"/>
        </w:rPr>
        <w:t xml:space="preserve"> should return empty</w:t>
      </w:r>
    </w:p>
    <w:p>
      <w:pPr>
        <w:pStyle w:val="ListNumber"/>
      </w:pPr>
      <w:r>
        <w:rPr>
          <w:sz w:val="22"/>
        </w:rPr>
      </w:r>
      <w:r>
        <w:rPr>
          <w:rFonts w:ascii="Courier New" w:hAnsi="Courier New"/>
          <w:sz w:val="22"/>
        </w:rPr>
        <w:t>git rm -r scratch/</w:t>
      </w:r>
      <w:r>
        <w:rPr>
          <w:sz w:val="22"/>
        </w:rPr>
        <w:t xml:space="preserve"> OR simply delete the directory — git will handle the empty dir on commit</w:t>
      </w:r>
    </w:p>
    <w:p>
      <w:pPr>
        <w:pStyle w:val="ListNumber"/>
      </w:pPr>
      <w:r>
        <w:rPr>
          <w:sz w:val="22"/>
        </w:rPr>
        <w:t xml:space="preserve">Commit: </w:t>
      </w:r>
      <w:r>
        <w:rPr>
          <w:rFonts w:ascii="Courier New" w:hAnsi="Courier New"/>
          <w:sz w:val="22"/>
        </w:rPr>
        <w:t>Chore: remove empty scratch directory</w:t>
      </w:r>
      <w:r>
        <w:rPr>
          <w:sz w:val="22"/>
        </w:rPr>
      </w:r>
    </w:p>
    <w:p/>
    <w:p>
      <w:pPr>
        <w:pStyle w:val="Heading2"/>
      </w:pPr>
      <w:r>
        <w:rPr>
          <w:color w:val="1E40AF"/>
          <w:sz w:val="30"/>
        </w:rPr>
        <w:t>Phase 3 — Resolve `proxy.ts` (Small Risk — Read Before Acting)</w:t>
      </w:r>
    </w:p>
    <w:p>
      <w:pPr>
        <w:pStyle w:val="Heading3"/>
      </w:pPr>
      <w:r>
        <w:rPr>
          <w:color w:val="1D4E89"/>
          <w:sz w:val="26"/>
        </w:rPr>
        <w:t>Action 3.1 — Investigate `proxy.ts`</w:t>
      </w:r>
    </w:p>
    <w:p>
      <w:r>
        <w:rPr>
          <w:sz w:val="22"/>
        </w:rPr>
      </w:r>
      <w:r>
        <w:rPr>
          <w:b/>
          <w:sz w:val="22"/>
        </w:rPr>
        <w:t>Why</w:t>
      </w:r>
      <w:r>
        <w:rPr>
          <w:sz w:val="22"/>
        </w:rPr>
        <w:t xml:space="preserve">: The file is named </w:t>
      </w:r>
      <w:r>
        <w:rPr>
          <w:rFonts w:ascii="Courier New" w:hAnsi="Courier New"/>
          <w:sz w:val="20"/>
        </w:rPr>
        <w:t>proxy.ts</w:t>
      </w:r>
      <w:r>
        <w:rPr>
          <w:sz w:val="22"/>
        </w:rPr>
        <w:t xml:space="preserve"> but to function as Next.js edge middleware it must be named </w:t>
      </w:r>
      <w:r>
        <w:rPr>
          <w:rFonts w:ascii="Courier New" w:hAnsi="Courier New"/>
          <w:sz w:val="20"/>
        </w:rPr>
        <w:t>middleware.ts</w:t>
      </w:r>
      <w:r>
        <w:rPr>
          <w:sz w:val="22"/>
        </w:rPr>
        <w:t>. It currently has no effect on any requests.</w:t>
      </w:r>
    </w:p>
    <w:p>
      <w:r>
        <w:rPr>
          <w:sz w:val="22"/>
        </w:rPr>
      </w:r>
      <w:r>
        <w:rPr>
          <w:b/>
          <w:sz w:val="22"/>
        </w:rPr>
        <w:t>Steps before any action</w:t>
      </w:r>
      <w:r>
        <w:rPr>
          <w:sz w:val="22"/>
        </w:rPr>
        <w:t>:</w:t>
      </w:r>
    </w:p>
    <w:p>
      <w:pPr>
        <w:pStyle w:val="ListNumber"/>
      </w:pPr>
      <w:r>
        <w:rPr>
          <w:sz w:val="22"/>
        </w:rPr>
        <w:t xml:space="preserve">Read the contents of </w:t>
      </w:r>
      <w:r>
        <w:rPr>
          <w:rFonts w:ascii="Courier New" w:hAnsi="Courier New"/>
          <w:sz w:val="22"/>
        </w:rPr>
        <w:t>proxy.ts</w:t>
      </w:r>
      <w:r>
        <w:rPr>
          <w:sz w:val="22"/>
        </w:rPr>
        <w:t xml:space="preserve"> in full</w:t>
      </w:r>
    </w:p>
    <w:p>
      <w:pPr>
        <w:pStyle w:val="ListNumber"/>
      </w:pPr>
      <w:r>
        <w:rPr>
          <w:sz w:val="22"/>
        </w:rPr>
        <w:t>Determine what it is trying to do:</w:t>
      </w:r>
    </w:p>
    <w:p>
      <w:r>
        <w:rPr>
          <w:sz w:val="22"/>
        </w:rPr>
        <w:t xml:space="preserve">- If it is valid Next.js middleware code (exports </w:t>
      </w:r>
      <w:r>
        <w:rPr>
          <w:rFonts w:ascii="Courier New" w:hAnsi="Courier New"/>
          <w:sz w:val="20"/>
        </w:rPr>
        <w:t>export function middleware(request: NextRequest)</w:t>
      </w:r>
      <w:r>
        <w:rPr>
          <w:sz w:val="22"/>
        </w:rPr>
        <w:t>) → proceed to 3.2</w:t>
      </w:r>
    </w:p>
    <w:p>
      <w:r>
        <w:rPr>
          <w:sz w:val="22"/>
        </w:rPr>
        <w:t>- If it is unfinished, incorrect, or for a different purpose → delete it (3.3)</w:t>
      </w:r>
    </w:p>
    <w:p>
      <w:pPr>
        <w:pStyle w:val="Heading3"/>
      </w:pPr>
      <w:r>
        <w:rPr>
          <w:color w:val="1D4E89"/>
          <w:sz w:val="26"/>
        </w:rPr>
        <w:t>Action 3.2 — Rename `proxy.ts` to `middleware.ts` (if content is valid middleware)</w:t>
      </w:r>
    </w:p>
    <w:p>
      <w:r>
        <w:rPr>
          <w:sz w:val="22"/>
        </w:rPr>
      </w:r>
      <w:r>
        <w:rPr>
          <w:b/>
          <w:sz w:val="22"/>
        </w:rPr>
        <w:t>WARNING</w:t>
      </w:r>
      <w:r>
        <w:rPr>
          <w:sz w:val="22"/>
        </w:rPr>
        <w:t xml:space="preserve">: Renaming to </w:t>
      </w:r>
      <w:r>
        <w:rPr>
          <w:rFonts w:ascii="Courier New" w:hAnsi="Courier New"/>
          <w:sz w:val="20"/>
        </w:rPr>
        <w:t>middleware.ts</w:t>
      </w:r>
      <w:r>
        <w:rPr>
          <w:sz w:val="22"/>
        </w:rPr>
        <w:t xml:space="preserve"> will immediately activate the middleware on ALL Next.js requests in production on the next deploy. Test locally first.</w:t>
      </w:r>
    </w:p>
    <w:p>
      <w:r>
        <w:rPr>
          <w:sz w:val="22"/>
        </w:rPr>
      </w:r>
      <w:r>
        <w:rPr>
          <w:b/>
          <w:sz w:val="22"/>
        </w:rPr>
        <w:t>Steps</w:t>
      </w:r>
      <w:r>
        <w:rPr>
          <w:sz w:val="22"/>
        </w:rPr>
        <w:t>:</w:t>
      </w:r>
    </w:p>
    <w:p>
      <w:pPr>
        <w:pStyle w:val="ListNumber"/>
      </w:pPr>
      <w:r>
        <w:rPr>
          <w:sz w:val="22"/>
        </w:rPr>
        <w:t xml:space="preserve">Rename: </w:t>
      </w:r>
      <w:r>
        <w:rPr>
          <w:rFonts w:ascii="Courier New" w:hAnsi="Courier New"/>
          <w:sz w:val="22"/>
        </w:rPr>
        <w:t>git mv proxy.ts middleware.ts</w:t>
      </w:r>
      <w:r>
        <w:rPr>
          <w:sz w:val="22"/>
        </w:rPr>
      </w:r>
    </w:p>
    <w:p>
      <w:pPr>
        <w:pStyle w:val="ListNumber"/>
      </w:pPr>
      <w:r>
        <w:rPr>
          <w:sz w:val="22"/>
        </w:rPr>
        <w:t xml:space="preserve">Verify the file exports exactly: </w:t>
      </w:r>
      <w:r>
        <w:rPr>
          <w:rFonts w:ascii="Courier New" w:hAnsi="Courier New"/>
          <w:sz w:val="22"/>
        </w:rPr>
        <w:t>export function middleware(request: NextRequest) { ... }</w:t>
      </w:r>
      <w:r>
        <w:rPr>
          <w:sz w:val="22"/>
        </w:rPr>
        <w:t xml:space="preserve"> (or </w:t>
      </w:r>
      <w:r>
        <w:rPr>
          <w:rFonts w:ascii="Courier New" w:hAnsi="Courier New"/>
          <w:sz w:val="22"/>
        </w:rPr>
        <w:t>export default</w:t>
      </w:r>
      <w:r>
        <w:rPr>
          <w:sz w:val="22"/>
        </w:rPr>
        <w:t>)</w:t>
      </w:r>
    </w:p>
    <w:p>
      <w:pPr>
        <w:pStyle w:val="ListNumber"/>
      </w:pPr>
      <w:r>
        <w:rPr>
          <w:sz w:val="22"/>
        </w:rPr>
        <w:t>Start the dev server and verify no unexpected redirects or errors occur</w:t>
      </w:r>
    </w:p>
    <w:p>
      <w:pPr>
        <w:pStyle w:val="ListNumber"/>
      </w:pPr>
      <w:r>
        <w:rPr>
          <w:sz w:val="22"/>
        </w:rPr>
        <w:t xml:space="preserve">Run </w:t>
      </w:r>
      <w:r>
        <w:rPr>
          <w:rFonts w:ascii="Courier New" w:hAnsi="Courier New"/>
          <w:sz w:val="22"/>
        </w:rPr>
        <w:t>npx tsc --noEmit</w:t>
      </w:r>
      <w:r>
        <w:rPr>
          <w:sz w:val="22"/>
        </w:rPr>
      </w:r>
    </w:p>
    <w:p>
      <w:pPr>
        <w:pStyle w:val="ListNumber"/>
      </w:pPr>
      <w:r>
        <w:rPr>
          <w:sz w:val="22"/>
        </w:rPr>
        <w:t xml:space="preserve">Commit: </w:t>
      </w:r>
      <w:r>
        <w:rPr>
          <w:rFonts w:ascii="Courier New" w:hAnsi="Courier New"/>
          <w:sz w:val="22"/>
        </w:rPr>
        <w:t>Fix: rename proxy.ts to middleware.ts so Next.js picks it up</w:t>
      </w:r>
      <w:r>
        <w:rPr>
          <w:sz w:val="22"/>
        </w:rPr>
      </w:r>
    </w:p>
    <w:p>
      <w:pPr>
        <w:pStyle w:val="Heading3"/>
      </w:pPr>
      <w:r>
        <w:rPr>
          <w:color w:val="1D4E89"/>
          <w:sz w:val="26"/>
        </w:rPr>
        <w:t>Action 3.3 — Delete `proxy.ts` (if content is not valid or not needed)</w:t>
      </w:r>
    </w:p>
    <w:p>
      <w:r>
        <w:rPr>
          <w:sz w:val="22"/>
        </w:rPr>
      </w:r>
      <w:r>
        <w:rPr>
          <w:b/>
          <w:sz w:val="22"/>
        </w:rPr>
        <w:t>Steps</w:t>
      </w:r>
      <w:r>
        <w:rPr>
          <w:sz w:val="22"/>
        </w:rPr>
        <w:t>:</w:t>
      </w:r>
    </w:p>
    <w:p>
      <w:pPr>
        <w:pStyle w:val="ListNumber"/>
      </w:pPr>
      <w:r>
        <w:rPr>
          <w:sz w:val="22"/>
        </w:rPr>
        <w:t xml:space="preserve">Delete </w:t>
      </w:r>
      <w:r>
        <w:rPr>
          <w:rFonts w:ascii="Courier New" w:hAnsi="Courier New"/>
          <w:sz w:val="22"/>
        </w:rPr>
        <w:t>proxy.ts</w:t>
      </w:r>
      <w:r>
        <w:rPr>
          <w:sz w:val="22"/>
        </w:rPr>
      </w:r>
    </w:p>
    <w:p>
      <w:pPr>
        <w:pStyle w:val="ListNumber"/>
      </w:pPr>
      <w:r>
        <w:rPr>
          <w:sz w:val="22"/>
        </w:rPr>
        <w:t xml:space="preserve">Run </w:t>
      </w:r>
      <w:r>
        <w:rPr>
          <w:rFonts w:ascii="Courier New" w:hAnsi="Courier New"/>
          <w:sz w:val="22"/>
        </w:rPr>
        <w:t>npx tsc --noEmit</w:t>
      </w:r>
      <w:r>
        <w:rPr>
          <w:sz w:val="22"/>
        </w:rPr>
      </w:r>
    </w:p>
    <w:p>
      <w:pPr>
        <w:pStyle w:val="ListNumber"/>
      </w:pPr>
      <w:r>
        <w:rPr>
          <w:sz w:val="22"/>
        </w:rPr>
        <w:t xml:space="preserve">Commit: </w:t>
      </w:r>
      <w:r>
        <w:rPr>
          <w:rFonts w:ascii="Courier New" w:hAnsi="Courier New"/>
          <w:sz w:val="22"/>
        </w:rPr>
        <w:t>Chore: remove dormant proxy.ts (was never invoked by Next.js)</w:t>
      </w:r>
      <w:r>
        <w:rPr>
          <w:sz w:val="22"/>
        </w:rPr>
      </w:r>
    </w:p>
    <w:p/>
    <w:p>
      <w:pPr>
        <w:pStyle w:val="Heading2"/>
      </w:pPr>
      <w:r>
        <w:rPr>
          <w:color w:val="1E40AF"/>
          <w:sz w:val="30"/>
        </w:rPr>
        <w:t>Phase 4 — Fix Component Filename Typo (Small Risk — Update Imports Too)</w:t>
      </w:r>
    </w:p>
    <w:p>
      <w:pPr>
        <w:pStyle w:val="Heading3"/>
      </w:pPr>
      <w:r>
        <w:rPr>
          <w:color w:val="1D4E89"/>
          <w:sz w:val="26"/>
        </w:rPr>
        <w:t>Action 4.1 — Fix `components/home/RegulatorySevices.tsx` typo</w:t>
      </w:r>
    </w:p>
    <w:p>
      <w:r>
        <w:rPr>
          <w:sz w:val="22"/>
        </w:rPr>
      </w:r>
      <w:r>
        <w:rPr>
          <w:b/>
          <w:sz w:val="22"/>
        </w:rPr>
        <w:t>Why</w:t>
      </w:r>
      <w:r>
        <w:rPr>
          <w:sz w:val="22"/>
        </w:rPr>
        <w:t>: The filename is missing an 'r' in "Services". This causes confusion for developers reading the repo.</w:t>
      </w:r>
    </w:p>
    <w:p>
      <w:r>
        <w:rPr>
          <w:sz w:val="22"/>
        </w:rPr>
      </w:r>
      <w:r>
        <w:rPr>
          <w:b/>
          <w:sz w:val="22"/>
        </w:rPr>
        <w:t>Find all imports</w:t>
      </w:r>
      <w:r>
        <w:rPr>
          <w:sz w:val="22"/>
        </w:rPr>
        <w:t>:</w:t>
      </w:r>
    </w:p>
    <w:p>
      <w:pPr>
        <w:spacing w:before="80" w:after="80"/>
        <w:ind w:left="432"/>
        <w:shd w:val="clear" w:color="auto" w:fill="F0F0F0"/>
      </w:pPr>
      <w:r>
        <w:rPr>
          <w:rFonts w:ascii="Courier New" w:hAnsi="Courier New"/>
          <w:sz w:val="17"/>
        </w:rPr>
        <w:t>grep -r "RegulatorySevices" app components --include="*.ts" --include="*.tsx"</w:t>
      </w:r>
    </w:p>
    <w:p>
      <w:r>
        <w:rPr>
          <w:sz w:val="22"/>
        </w:rPr>
      </w:r>
      <w:r>
        <w:rPr>
          <w:b/>
          <w:sz w:val="22"/>
        </w:rPr>
        <w:t>Steps</w:t>
      </w:r>
      <w:r>
        <w:rPr>
          <w:sz w:val="22"/>
        </w:rPr>
        <w:t>:</w:t>
      </w:r>
    </w:p>
    <w:p>
      <w:pPr>
        <w:pStyle w:val="ListNumber"/>
      </w:pPr>
      <w:r>
        <w:rPr>
          <w:sz w:val="22"/>
        </w:rPr>
        <w:t>Run the grep to find all import sites</w:t>
      </w:r>
    </w:p>
    <w:p>
      <w:pPr>
        <w:pStyle w:val="ListNumber"/>
      </w:pPr>
      <w:r>
        <w:rPr>
          <w:sz w:val="22"/>
        </w:rPr>
        <w:t xml:space="preserve">Rename the file: </w:t>
      </w:r>
      <w:r>
        <w:rPr>
          <w:rFonts w:ascii="Courier New" w:hAnsi="Courier New"/>
          <w:sz w:val="22"/>
        </w:rPr>
        <w:t>git mv components/home/RegulatorySevices.tsx components/home/RegulatoryServices.tsx</w:t>
      </w:r>
      <w:r>
        <w:rPr>
          <w:sz w:val="22"/>
        </w:rPr>
      </w:r>
    </w:p>
    <w:p>
      <w:pPr>
        <w:pStyle w:val="ListNumber"/>
      </w:pPr>
      <w:r>
        <w:rPr>
          <w:sz w:val="22"/>
        </w:rPr>
        <w:t>Update every import found in step 1 to use the new filename</w:t>
      </w:r>
    </w:p>
    <w:p>
      <w:pPr>
        <w:pStyle w:val="ListNumber"/>
      </w:pPr>
      <w:r>
        <w:rPr>
          <w:sz w:val="22"/>
        </w:rPr>
        <w:t xml:space="preserve">Run </w:t>
      </w:r>
      <w:r>
        <w:rPr>
          <w:rFonts w:ascii="Courier New" w:hAnsi="Courier New"/>
          <w:sz w:val="22"/>
        </w:rPr>
        <w:t>npx tsc --noEmit</w:t>
      </w:r>
      <w:r>
        <w:rPr>
          <w:sz w:val="22"/>
        </w:rPr>
      </w:r>
    </w:p>
    <w:p>
      <w:pPr>
        <w:pStyle w:val="ListNumber"/>
      </w:pPr>
      <w:r>
        <w:rPr>
          <w:sz w:val="22"/>
        </w:rPr>
        <w:t xml:space="preserve">Commit: </w:t>
      </w:r>
      <w:r>
        <w:rPr>
          <w:rFonts w:ascii="Courier New" w:hAnsi="Courier New"/>
          <w:sz w:val="22"/>
        </w:rPr>
        <w:t>Fix: rename RegulatorySevices.tsx to correct spelling RegulatoryServices.tsx</w:t>
      </w:r>
      <w:r>
        <w:rPr>
          <w:sz w:val="22"/>
        </w:rPr>
      </w:r>
    </w:p>
    <w:p/>
    <w:p>
      <w:pPr>
        <w:pStyle w:val="Heading2"/>
      </w:pPr>
      <w:r>
        <w:rPr>
          <w:color w:val="1E40AF"/>
          <w:sz w:val="30"/>
        </w:rPr>
        <w:t>Phase 5 — Move `FAQAccordion.tsx` into Subfolder (Low Priority, Cosmetic)</w:t>
      </w:r>
    </w:p>
    <w:p>
      <w:pPr>
        <w:pStyle w:val="Heading3"/>
      </w:pPr>
      <w:r>
        <w:rPr>
          <w:color w:val="1D4E89"/>
          <w:sz w:val="26"/>
        </w:rPr>
        <w:t>Action 5.1 — Move `components/FAQAccordion.tsx` into `components/ui/`</w:t>
      </w:r>
    </w:p>
    <w:p>
      <w:r>
        <w:rPr>
          <w:sz w:val="22"/>
        </w:rPr>
      </w:r>
      <w:r>
        <w:rPr>
          <w:b/>
          <w:sz w:val="22"/>
        </w:rPr>
        <w:t>Why</w:t>
      </w:r>
      <w:r>
        <w:rPr>
          <w:sz w:val="22"/>
        </w:rPr>
        <w:t xml:space="preserve">: All other components are in subdirectories. This one file sitting at the root of </w:t>
      </w:r>
      <w:r>
        <w:rPr>
          <w:rFonts w:ascii="Courier New" w:hAnsi="Courier New"/>
          <w:sz w:val="20"/>
        </w:rPr>
        <w:t>components/</w:t>
      </w:r>
      <w:r>
        <w:rPr>
          <w:sz w:val="22"/>
        </w:rPr>
        <w:t xml:space="preserve"> is inconsistent.</w:t>
      </w:r>
    </w:p>
    <w:p>
      <w:r>
        <w:rPr>
          <w:sz w:val="22"/>
        </w:rPr>
      </w:r>
      <w:r>
        <w:rPr>
          <w:b/>
          <w:sz w:val="22"/>
        </w:rPr>
        <w:t>Find all imports</w:t>
      </w:r>
      <w:r>
        <w:rPr>
          <w:sz w:val="22"/>
        </w:rPr>
        <w:t>:</w:t>
      </w:r>
    </w:p>
    <w:p>
      <w:pPr>
        <w:spacing w:before="80" w:after="80"/>
        <w:ind w:left="432"/>
        <w:shd w:val="clear" w:color="auto" w:fill="F0F0F0"/>
      </w:pPr>
      <w:r>
        <w:rPr>
          <w:rFonts w:ascii="Courier New" w:hAnsi="Courier New"/>
          <w:sz w:val="17"/>
        </w:rPr>
        <w:t>grep -r "FAQAccordion" app components --include="*.ts" --include="*.tsx"</w:t>
      </w:r>
    </w:p>
    <w:p>
      <w:r>
        <w:rPr>
          <w:sz w:val="22"/>
        </w:rPr>
      </w:r>
      <w:r>
        <w:rPr>
          <w:b/>
          <w:sz w:val="22"/>
        </w:rPr>
        <w:t>Steps</w:t>
      </w:r>
      <w:r>
        <w:rPr>
          <w:sz w:val="22"/>
        </w:rPr>
        <w:t>:</w:t>
      </w:r>
    </w:p>
    <w:p>
      <w:pPr>
        <w:pStyle w:val="ListNumber"/>
      </w:pPr>
      <w:r>
        <w:rPr>
          <w:sz w:val="22"/>
        </w:rPr>
        <w:t>Run the grep</w:t>
      </w:r>
    </w:p>
    <w:p>
      <w:pPr>
        <w:pStyle w:val="ListNumber"/>
      </w:pPr>
      <w:r>
        <w:rPr>
          <w:sz w:val="22"/>
        </w:rPr>
        <w:t xml:space="preserve">Move: </w:t>
      </w:r>
      <w:r>
        <w:rPr>
          <w:rFonts w:ascii="Courier New" w:hAnsi="Courier New"/>
          <w:sz w:val="22"/>
        </w:rPr>
        <w:t>git mv components/FAQAccordion.tsx components/ui/FAQAccordion.tsx</w:t>
      </w:r>
      <w:r>
        <w:rPr>
          <w:sz w:val="22"/>
        </w:rPr>
      </w:r>
    </w:p>
    <w:p>
      <w:pPr>
        <w:pStyle w:val="ListNumber"/>
      </w:pPr>
      <w:r>
        <w:rPr>
          <w:sz w:val="22"/>
        </w:rPr>
        <w:t xml:space="preserve">Update every import to </w:t>
      </w:r>
      <w:r>
        <w:rPr>
          <w:rFonts w:ascii="Courier New" w:hAnsi="Courier New"/>
          <w:sz w:val="22"/>
        </w:rPr>
        <w:t>@/components/ui/FAQAccordion</w:t>
      </w:r>
      <w:r>
        <w:rPr>
          <w:sz w:val="22"/>
        </w:rPr>
      </w:r>
    </w:p>
    <w:p>
      <w:pPr>
        <w:pStyle w:val="ListNumber"/>
      </w:pPr>
      <w:r>
        <w:rPr>
          <w:sz w:val="22"/>
        </w:rPr>
        <w:t xml:space="preserve">Run </w:t>
      </w:r>
      <w:r>
        <w:rPr>
          <w:rFonts w:ascii="Courier New" w:hAnsi="Courier New"/>
          <w:sz w:val="22"/>
        </w:rPr>
        <w:t>npx tsc --noEmit</w:t>
      </w:r>
      <w:r>
        <w:rPr>
          <w:sz w:val="22"/>
        </w:rPr>
      </w:r>
    </w:p>
    <w:p>
      <w:pPr>
        <w:pStyle w:val="ListNumber"/>
      </w:pPr>
      <w:r>
        <w:rPr>
          <w:sz w:val="22"/>
        </w:rPr>
        <w:t xml:space="preserve">Commit: </w:t>
      </w:r>
      <w:r>
        <w:rPr>
          <w:rFonts w:ascii="Courier New" w:hAnsi="Courier New"/>
          <w:sz w:val="22"/>
        </w:rPr>
        <w:t>Refactor: move FAQAccordion into components/ui/</w:t>
      </w:r>
      <w:r>
        <w:rPr>
          <w:sz w:val="22"/>
        </w:rPr>
      </w:r>
    </w:p>
    <w:p/>
    <w:p>
      <w:pPr>
        <w:pStyle w:val="Heading2"/>
      </w:pPr>
      <w:r>
        <w:rPr>
          <w:color w:val="1E40AF"/>
          <w:sz w:val="30"/>
        </w:rPr>
        <w:t>Phase 6 — Consolidate Redirect Routes into next.config.js (Medium Effort)</w:t>
      </w:r>
    </w:p>
    <w:p>
      <w:pPr>
        <w:pStyle w:val="Heading3"/>
      </w:pPr>
      <w:r>
        <w:rPr>
          <w:color w:val="1D4E89"/>
          <w:sz w:val="26"/>
        </w:rPr>
        <w:t>Action 6.1 — Move 17 redirect-only page.tsx files to next.config.js</w:t>
      </w:r>
    </w:p>
    <w:p>
      <w:r>
        <w:rPr>
          <w:sz w:val="22"/>
        </w:rPr>
      </w:r>
      <w:r>
        <w:rPr>
          <w:b/>
          <w:sz w:val="22"/>
        </w:rPr>
        <w:t>Why</w:t>
      </w:r>
      <w:r>
        <w:rPr>
          <w:sz w:val="22"/>
        </w:rPr>
        <w:t xml:space="preserve">: 17 files each containing a single </w:t>
      </w:r>
      <w:r>
        <w:rPr>
          <w:rFonts w:ascii="Courier New" w:hAnsi="Courier New"/>
          <w:sz w:val="20"/>
        </w:rPr>
        <w:t>redirect()</w:t>
      </w:r>
      <w:r>
        <w:rPr>
          <w:sz w:val="22"/>
        </w:rPr>
        <w:t xml:space="preserve"> call inflate the route tree. Config-level redirects execute at the edge and are faster.</w:t>
      </w:r>
    </w:p>
    <w:p>
      <w:r>
        <w:rPr>
          <w:sz w:val="22"/>
        </w:rPr>
      </w:r>
      <w:r>
        <w:rPr>
          <w:b/>
          <w:sz w:val="22"/>
        </w:rPr>
        <w:t>Steps</w:t>
      </w:r>
      <w:r>
        <w:rPr>
          <w:sz w:val="22"/>
        </w:rPr>
        <w:t>:</w:t>
      </w:r>
    </w:p>
    <w:p>
      <w:pPr>
        <w:pStyle w:val="ListNumber"/>
      </w:pPr>
      <w:r>
        <w:rPr>
          <w:sz w:val="22"/>
        </w:rPr>
        <w:t xml:space="preserve">Add a </w:t>
      </w:r>
      <w:r>
        <w:rPr>
          <w:rFonts w:ascii="Courier New" w:hAnsi="Courier New"/>
          <w:sz w:val="22"/>
        </w:rPr>
        <w:t>redirects</w:t>
      </w:r>
      <w:r>
        <w:rPr>
          <w:sz w:val="22"/>
        </w:rPr>
        <w:t xml:space="preserve"> function to </w:t>
      </w:r>
      <w:r>
        <w:rPr>
          <w:rFonts w:ascii="Courier New" w:hAnsi="Courier New"/>
          <w:sz w:val="22"/>
        </w:rPr>
        <w:t>next.config.js</w:t>
      </w:r>
      <w:r>
        <w:rPr>
          <w:sz w:val="22"/>
        </w:rPr>
        <w:t xml:space="preserve"> with all 17 entries (see </w:t>
      </w:r>
      <w:r>
        <w:rPr>
          <w:rFonts w:ascii="Courier New" w:hAnsi="Courier New"/>
          <w:sz w:val="22"/>
        </w:rPr>
        <w:t>ESTABIZZ_RECOMMENDED_FOLDER_STRUCTURE.md</w:t>
      </w:r>
      <w:r>
        <w:rPr>
          <w:sz w:val="22"/>
        </w:rPr>
        <w:t xml:space="preserve"> §5 for the exact config block)</w:t>
      </w:r>
    </w:p>
    <w:p>
      <w:pPr>
        <w:pStyle w:val="ListNumber"/>
      </w:pPr>
      <w:r>
        <w:rPr>
          <w:sz w:val="22"/>
        </w:rPr>
        <w:t>Deploy to local dev server (</w:t>
      </w:r>
      <w:r>
        <w:rPr>
          <w:rFonts w:ascii="Courier New" w:hAnsi="Courier New"/>
          <w:sz w:val="22"/>
        </w:rPr>
        <w:t>npm run dev</w:t>
      </w:r>
      <w:r>
        <w:rPr>
          <w:sz w:val="22"/>
        </w:rPr>
        <w:t>)</w:t>
      </w:r>
    </w:p>
    <w:p>
      <w:pPr>
        <w:pStyle w:val="ListNumber"/>
      </w:pPr>
      <w:r>
        <w:rPr>
          <w:sz w:val="22"/>
        </w:rPr>
        <w:t>Test each of the 17 URLs manually to confirm they redirect correctly</w:t>
      </w:r>
    </w:p>
    <w:p>
      <w:pPr>
        <w:pStyle w:val="ListNumber"/>
      </w:pPr>
      <w:r>
        <w:rPr>
          <w:sz w:val="22"/>
        </w:rPr>
        <w:t xml:space="preserve">Delete the 17 </w:t>
      </w:r>
      <w:r>
        <w:rPr>
          <w:rFonts w:ascii="Courier New" w:hAnsi="Courier New"/>
          <w:sz w:val="22"/>
        </w:rPr>
        <w:t>page.tsx</w:t>
      </w:r>
      <w:r>
        <w:rPr>
          <w:sz w:val="22"/>
        </w:rPr>
        <w:t xml:space="preserve"> files</w:t>
      </w:r>
    </w:p>
    <w:p>
      <w:pPr>
        <w:pStyle w:val="ListNumber"/>
      </w:pPr>
      <w:r>
        <w:rPr>
          <w:sz w:val="22"/>
        </w:rPr>
        <w:t xml:space="preserve">Run </w:t>
      </w:r>
      <w:r>
        <w:rPr>
          <w:rFonts w:ascii="Courier New" w:hAnsi="Courier New"/>
          <w:sz w:val="22"/>
        </w:rPr>
        <w:t>npx tsc --noEmit</w:t>
      </w:r>
      <w:r>
        <w:rPr>
          <w:sz w:val="22"/>
        </w:rPr>
      </w:r>
    </w:p>
    <w:p>
      <w:pPr>
        <w:pStyle w:val="ListNumber"/>
      </w:pPr>
      <w:r>
        <w:rPr>
          <w:sz w:val="22"/>
        </w:rPr>
        <w:t xml:space="preserve">Commit: </w:t>
      </w:r>
      <w:r>
        <w:rPr>
          <w:rFonts w:ascii="Courier New" w:hAnsi="Courier New"/>
          <w:sz w:val="22"/>
        </w:rPr>
        <w:t>Chore: consolidate 17 redirect-only routes into next.config.js</w:t>
      </w:r>
      <w:r>
        <w:rPr>
          <w:sz w:val="22"/>
        </w:rPr>
      </w:r>
    </w:p>
    <w:p>
      <w:r>
        <w:rPr>
          <w:sz w:val="22"/>
        </w:rPr>
      </w:r>
      <w:r>
        <w:rPr>
          <w:b/>
          <w:sz w:val="22"/>
        </w:rPr>
        <w:t>Files to delete after step 3</w:t>
      </w:r>
      <w:r>
        <w:rPr>
          <w:sz w:val="22"/>
        </w:rPr>
        <w:t>:</w:t>
      </w:r>
    </w:p>
    <w:p>
      <w:pPr>
        <w:pStyle w:val="ListBullet"/>
      </w:pPr>
      <w:r>
        <w:rPr>
          <w:sz w:val="22"/>
        </w:rPr>
      </w:r>
      <w:r>
        <w:rPr>
          <w:rFonts w:ascii="Courier New" w:hAnsi="Courier New"/>
          <w:sz w:val="22"/>
        </w:rPr>
        <w:t>app/sebi/investment-adviser-registration/</w:t>
      </w:r>
      <w:r>
        <w:rPr>
          <w:sz w:val="22"/>
        </w:rPr>
        <w:t xml:space="preserve"> (whole directory)</w:t>
      </w:r>
    </w:p>
    <w:p>
      <w:pPr>
        <w:pStyle w:val="ListBullet"/>
      </w:pPr>
      <w:r>
        <w:rPr>
          <w:sz w:val="22"/>
        </w:rPr>
      </w:r>
      <w:r>
        <w:rPr>
          <w:rFonts w:ascii="Courier New" w:hAnsi="Courier New"/>
          <w:sz w:val="22"/>
        </w:rPr>
        <w:t>app/sebi/portfolio-manager-registration/</w:t>
      </w:r>
      <w:r>
        <w:rPr>
          <w:sz w:val="22"/>
        </w:rPr>
      </w:r>
    </w:p>
    <w:p>
      <w:pPr>
        <w:pStyle w:val="ListBullet"/>
      </w:pPr>
      <w:r>
        <w:rPr>
          <w:sz w:val="22"/>
        </w:rPr>
      </w:r>
      <w:r>
        <w:rPr>
          <w:rFonts w:ascii="Courier New" w:hAnsi="Courier New"/>
          <w:sz w:val="22"/>
        </w:rPr>
        <w:t>app/sebi/research-analyst-registration/</w:t>
      </w:r>
      <w:r>
        <w:rPr>
          <w:sz w:val="22"/>
        </w:rPr>
      </w:r>
    </w:p>
    <w:p>
      <w:pPr>
        <w:pStyle w:val="ListBullet"/>
      </w:pPr>
      <w:r>
        <w:rPr>
          <w:sz w:val="22"/>
        </w:rPr>
      </w:r>
      <w:r>
        <w:rPr>
          <w:rFonts w:ascii="Courier New" w:hAnsi="Courier New"/>
          <w:sz w:val="22"/>
        </w:rPr>
        <w:t>app/sebi/sebi-ria-registration/</w:t>
      </w:r>
      <w:r>
        <w:rPr>
          <w:sz w:val="22"/>
        </w:rPr>
      </w:r>
    </w:p>
    <w:p>
      <w:pPr>
        <w:pStyle w:val="ListBullet"/>
      </w:pPr>
      <w:r>
        <w:rPr>
          <w:sz w:val="22"/>
        </w:rPr>
      </w:r>
      <w:r>
        <w:rPr>
          <w:rFonts w:ascii="Courier New" w:hAnsi="Courier New"/>
          <w:sz w:val="22"/>
        </w:rPr>
        <w:t>app/sebi/sebi-stock-broker-registration/</w:t>
      </w:r>
      <w:r>
        <w:rPr>
          <w:sz w:val="22"/>
        </w:rPr>
      </w:r>
    </w:p>
    <w:p>
      <w:pPr>
        <w:pStyle w:val="ListBullet"/>
      </w:pPr>
      <w:r>
        <w:rPr>
          <w:sz w:val="22"/>
        </w:rPr>
      </w:r>
      <w:r>
        <w:rPr>
          <w:rFonts w:ascii="Courier New" w:hAnsi="Courier New"/>
          <w:sz w:val="22"/>
        </w:rPr>
        <w:t>app/sebi/social-stock-exchange-license/</w:t>
      </w:r>
      <w:r>
        <w:rPr>
          <w:sz w:val="22"/>
        </w:rPr>
      </w:r>
    </w:p>
    <w:p>
      <w:pPr>
        <w:pStyle w:val="ListBullet"/>
      </w:pPr>
      <w:r>
        <w:rPr>
          <w:sz w:val="22"/>
        </w:rPr>
      </w:r>
      <w:r>
        <w:rPr>
          <w:rFonts w:ascii="Courier New" w:hAnsi="Courier New"/>
          <w:sz w:val="22"/>
        </w:rPr>
        <w:t>app/sebi/stock-broker-license-india/</w:t>
      </w:r>
      <w:r>
        <w:rPr>
          <w:sz w:val="22"/>
        </w:rPr>
      </w:r>
    </w:p>
    <w:p>
      <w:pPr>
        <w:pStyle w:val="ListBullet"/>
      </w:pPr>
      <w:r>
        <w:rPr>
          <w:sz w:val="22"/>
        </w:rPr>
      </w:r>
      <w:r>
        <w:rPr>
          <w:rFonts w:ascii="Courier New" w:hAnsi="Courier New"/>
          <w:sz w:val="22"/>
        </w:rPr>
        <w:t>app/sebi/stock-broker-registration/</w:t>
      </w:r>
      <w:r>
        <w:rPr>
          <w:sz w:val="22"/>
        </w:rPr>
      </w:r>
    </w:p>
    <w:p>
      <w:pPr>
        <w:pStyle w:val="ListBullet"/>
      </w:pPr>
      <w:r>
        <w:rPr>
          <w:sz w:val="22"/>
        </w:rPr>
      </w:r>
      <w:r>
        <w:rPr>
          <w:rFonts w:ascii="Courier New" w:hAnsi="Courier New"/>
          <w:sz w:val="22"/>
        </w:rPr>
        <w:t>app/ifsca/aircraft-leasing/</w:t>
      </w:r>
      <w:r>
        <w:rPr>
          <w:sz w:val="22"/>
        </w:rPr>
      </w:r>
    </w:p>
    <w:p>
      <w:pPr>
        <w:pStyle w:val="ListBullet"/>
      </w:pPr>
      <w:r>
        <w:rPr>
          <w:sz w:val="22"/>
        </w:rPr>
      </w:r>
      <w:r>
        <w:rPr>
          <w:rFonts w:ascii="Courier New" w:hAnsi="Courier New"/>
          <w:sz w:val="22"/>
        </w:rPr>
        <w:t>app/ifsca/batf-services/</w:t>
      </w:r>
      <w:r>
        <w:rPr>
          <w:sz w:val="22"/>
        </w:rPr>
      </w:r>
    </w:p>
    <w:p>
      <w:pPr>
        <w:pStyle w:val="ListBullet"/>
      </w:pPr>
      <w:r>
        <w:rPr>
          <w:sz w:val="22"/>
        </w:rPr>
      </w:r>
      <w:r>
        <w:rPr>
          <w:rFonts w:ascii="Courier New" w:hAnsi="Courier New"/>
          <w:sz w:val="22"/>
        </w:rPr>
        <w:t>app/ifsca/finance-company/</w:t>
      </w:r>
      <w:r>
        <w:rPr>
          <w:sz w:val="22"/>
        </w:rPr>
      </w:r>
    </w:p>
    <w:p>
      <w:pPr>
        <w:pStyle w:val="ListBullet"/>
      </w:pPr>
      <w:r>
        <w:rPr>
          <w:sz w:val="22"/>
        </w:rPr>
      </w:r>
      <w:r>
        <w:rPr>
          <w:rFonts w:ascii="Courier New" w:hAnsi="Courier New"/>
          <w:sz w:val="22"/>
        </w:rPr>
        <w:t>app/ifsca/finance-company-registration-in-ifsc/</w:t>
      </w:r>
      <w:r>
        <w:rPr>
          <w:sz w:val="22"/>
        </w:rPr>
      </w:r>
    </w:p>
    <w:p>
      <w:pPr>
        <w:pStyle w:val="ListBullet"/>
      </w:pPr>
      <w:r>
        <w:rPr>
          <w:sz w:val="22"/>
        </w:rPr>
      </w:r>
      <w:r>
        <w:rPr>
          <w:rFonts w:ascii="Courier New" w:hAnsi="Courier New"/>
          <w:sz w:val="22"/>
        </w:rPr>
        <w:t>app/ifsca/fintech-entity/</w:t>
      </w:r>
      <w:r>
        <w:rPr>
          <w:sz w:val="22"/>
        </w:rPr>
      </w:r>
    </w:p>
    <w:p>
      <w:pPr>
        <w:pStyle w:val="ListBullet"/>
      </w:pPr>
      <w:r>
        <w:rPr>
          <w:sz w:val="22"/>
        </w:rPr>
      </w:r>
      <w:r>
        <w:rPr>
          <w:rFonts w:ascii="Courier New" w:hAnsi="Courier New"/>
          <w:sz w:val="22"/>
        </w:rPr>
        <w:t>app/ifsca/itfs-platform/</w:t>
      </w:r>
      <w:r>
        <w:rPr>
          <w:sz w:val="22"/>
        </w:rPr>
      </w:r>
    </w:p>
    <w:p>
      <w:pPr>
        <w:pStyle w:val="ListBullet"/>
      </w:pPr>
      <w:r>
        <w:rPr>
          <w:sz w:val="22"/>
        </w:rPr>
      </w:r>
      <w:r>
        <w:rPr>
          <w:rFonts w:ascii="Courier New" w:hAnsi="Courier New"/>
          <w:sz w:val="22"/>
        </w:rPr>
        <w:t>app/ifsca/psp-license/</w:t>
      </w:r>
      <w:r>
        <w:rPr>
          <w:sz w:val="22"/>
        </w:rPr>
      </w:r>
    </w:p>
    <w:p>
      <w:pPr>
        <w:pStyle w:val="ListBullet"/>
      </w:pPr>
      <w:r>
        <w:rPr>
          <w:sz w:val="22"/>
        </w:rPr>
      </w:r>
      <w:r>
        <w:rPr>
          <w:rFonts w:ascii="Courier New" w:hAnsi="Courier New"/>
          <w:sz w:val="22"/>
        </w:rPr>
        <w:t>app/regulatory/psp-license-ifsca/</w:t>
      </w:r>
      <w:r>
        <w:rPr>
          <w:sz w:val="22"/>
        </w:rPr>
      </w:r>
    </w:p>
    <w:p>
      <w:pPr>
        <w:pStyle w:val="ListBullet"/>
      </w:pPr>
      <w:r>
        <w:rPr>
          <w:sz w:val="22"/>
        </w:rPr>
      </w:r>
      <w:r>
        <w:rPr>
          <w:rFonts w:ascii="Courier New" w:hAnsi="Courier New"/>
          <w:sz w:val="22"/>
        </w:rPr>
        <w:t>app/admin/media/</w:t>
      </w:r>
      <w:r>
        <w:rPr>
          <w:sz w:val="22"/>
        </w:rPr>
      </w:r>
    </w:p>
    <w:p/>
    <w:p>
      <w:pPr>
        <w:pStyle w:val="Heading2"/>
      </w:pPr>
      <w:r>
        <w:rPr>
          <w:color w:val="1E40AF"/>
          <w:sz w:val="30"/>
        </w:rPr>
        <w:t>Phase 7 — Create `docs/` Directory and Move Markdown Files (Medium Effort)</w:t>
      </w:r>
    </w:p>
    <w:p>
      <w:pPr>
        <w:pStyle w:val="Heading3"/>
      </w:pPr>
      <w:r>
        <w:rPr>
          <w:color w:val="1D4E89"/>
          <w:sz w:val="26"/>
        </w:rPr>
        <w:t>Action 7.1 — Move all .md files to `docs/`</w:t>
      </w:r>
    </w:p>
    <w:p>
      <w:r>
        <w:rPr>
          <w:sz w:val="22"/>
        </w:rPr>
      </w:r>
      <w:r>
        <w:rPr>
          <w:b/>
          <w:sz w:val="22"/>
        </w:rPr>
        <w:t>Why</w:t>
      </w:r>
      <w:r>
        <w:rPr>
          <w:sz w:val="22"/>
        </w:rPr>
        <w:t xml:space="preserve">: 19+ markdown files at the root make the project root cluttered and hard to navigate. A </w:t>
      </w:r>
      <w:r>
        <w:rPr>
          <w:rFonts w:ascii="Courier New" w:hAnsi="Courier New"/>
          <w:sz w:val="20"/>
        </w:rPr>
        <w:t>docs/</w:t>
      </w:r>
      <w:r>
        <w:rPr>
          <w:sz w:val="22"/>
        </w:rPr>
        <w:t xml:space="preserve"> directory is the standard convention.</w:t>
      </w:r>
    </w:p>
    <w:p>
      <w:r>
        <w:rPr>
          <w:sz w:val="22"/>
        </w:rPr>
      </w:r>
      <w:r>
        <w:rPr>
          <w:b/>
          <w:sz w:val="22"/>
        </w:rPr>
        <w:t>Steps</w:t>
      </w:r>
      <w:r>
        <w:rPr>
          <w:sz w:val="22"/>
        </w:rPr>
        <w:t>:</w:t>
      </w:r>
    </w:p>
    <w:p>
      <w:pPr>
        <w:pStyle w:val="ListNumber"/>
      </w:pPr>
      <w:r>
        <w:rPr>
          <w:sz w:val="22"/>
        </w:rPr>
        <w:t xml:space="preserve">Create </w:t>
      </w:r>
      <w:r>
        <w:rPr>
          <w:rFonts w:ascii="Courier New" w:hAnsi="Courier New"/>
          <w:sz w:val="22"/>
        </w:rPr>
        <w:t>docs/</w:t>
      </w:r>
      <w:r>
        <w:rPr>
          <w:sz w:val="22"/>
        </w:rPr>
        <w:t xml:space="preserve"> directory</w:t>
      </w:r>
    </w:p>
    <w:p>
      <w:pPr>
        <w:pStyle w:val="ListNumber"/>
      </w:pPr>
      <w:r>
        <w:rPr>
          <w:sz w:val="22"/>
        </w:rPr>
        <w:t xml:space="preserve">Use </w:t>
      </w:r>
      <w:r>
        <w:rPr>
          <w:rFonts w:ascii="Courier New" w:hAnsi="Courier New"/>
          <w:sz w:val="22"/>
        </w:rPr>
        <w:t>git mv</w:t>
      </w:r>
      <w:r>
        <w:rPr>
          <w:sz w:val="22"/>
        </w:rPr>
        <w:t xml:space="preserve"> to move all </w:t>
      </w:r>
      <w:r>
        <w:rPr>
          <w:rFonts w:ascii="Courier New" w:hAnsi="Courier New"/>
          <w:sz w:val="22"/>
        </w:rPr>
        <w:t>.md</w:t>
      </w:r>
      <w:r>
        <w:rPr>
          <w:sz w:val="22"/>
        </w:rPr>
        <w:t xml:space="preserve"> files (list below)</w:t>
      </w:r>
    </w:p>
    <w:p>
      <w:pPr>
        <w:pStyle w:val="ListNumber"/>
      </w:pPr>
      <w:r>
        <w:rPr>
          <w:sz w:val="22"/>
        </w:rPr>
        <w:t xml:space="preserve">Update any cross-references in the docs that use relative paths to other </w:t>
      </w:r>
      <w:r>
        <w:rPr>
          <w:rFonts w:ascii="Courier New" w:hAnsi="Courier New"/>
          <w:sz w:val="22"/>
        </w:rPr>
        <w:t>.md</w:t>
      </w:r>
      <w:r>
        <w:rPr>
          <w:sz w:val="22"/>
        </w:rPr>
        <w:t xml:space="preserve"> files (e.g., </w:t>
      </w:r>
      <w:r>
        <w:rPr>
          <w:rFonts w:ascii="Courier New" w:hAnsi="Courier New"/>
          <w:sz w:val="22"/>
        </w:rPr>
        <w:t>[CMS_STATUS.md](CMS_STATUS.md)</w:t>
      </w:r>
      <w:r>
        <w:rPr>
          <w:sz w:val="22"/>
        </w:rPr>
        <w:t xml:space="preserve"> → </w:t>
      </w:r>
      <w:r>
        <w:rPr>
          <w:rFonts w:ascii="Courier New" w:hAnsi="Courier New"/>
          <w:sz w:val="22"/>
        </w:rPr>
        <w:t>[CMS_STATUS.md](docs/CMS_STATUS.md)</w:t>
      </w:r>
      <w:r>
        <w:rPr>
          <w:sz w:val="22"/>
        </w:rPr>
        <w:t xml:space="preserve"> if referenced from root, or keep relative if within </w:t>
      </w:r>
      <w:r>
        <w:rPr>
          <w:rFonts w:ascii="Courier New" w:hAnsi="Courier New"/>
          <w:sz w:val="22"/>
        </w:rPr>
        <w:t>docs/</w:t>
      </w:r>
      <w:r>
        <w:rPr>
          <w:sz w:val="22"/>
        </w:rPr>
        <w:t>)</w:t>
      </w:r>
    </w:p>
    <w:p>
      <w:pPr>
        <w:pStyle w:val="ListNumber"/>
      </w:pPr>
      <w:r>
        <w:rPr>
          <w:sz w:val="22"/>
        </w:rPr>
        <w:t xml:space="preserve">Update </w:t>
      </w:r>
      <w:r>
        <w:rPr>
          <w:rFonts w:ascii="Courier New" w:hAnsi="Courier New"/>
          <w:sz w:val="22"/>
        </w:rPr>
        <w:t>ESTABIZZ_AGENT_OPERATING_GUIDE.md</w:t>
      </w:r>
      <w:r>
        <w:rPr>
          <w:sz w:val="22"/>
        </w:rPr>
        <w:t xml:space="preserve"> §10 documentation index to reference </w:t>
      </w:r>
      <w:r>
        <w:rPr>
          <w:rFonts w:ascii="Courier New" w:hAnsi="Courier New"/>
          <w:sz w:val="22"/>
        </w:rPr>
        <w:t>docs/</w:t>
      </w:r>
      <w:r>
        <w:rPr>
          <w:sz w:val="22"/>
        </w:rPr>
        <w:t xml:space="preserve"> paths</w:t>
      </w:r>
    </w:p>
    <w:p>
      <w:pPr>
        <w:pStyle w:val="ListNumber"/>
      </w:pPr>
      <w:r>
        <w:rPr>
          <w:sz w:val="22"/>
        </w:rPr>
        <w:t xml:space="preserve">Update </w:t>
      </w:r>
      <w:r>
        <w:rPr>
          <w:rFonts w:ascii="Courier New" w:hAnsi="Courier New"/>
          <w:sz w:val="22"/>
        </w:rPr>
        <w:t>ESTABIZZ_PROJECT_MASTER_CONTEXT.md</w:t>
      </w:r>
      <w:r>
        <w:rPr>
          <w:sz w:val="22"/>
        </w:rPr>
        <w:t xml:space="preserve"> document map</w:t>
      </w:r>
    </w:p>
    <w:p>
      <w:pPr>
        <w:pStyle w:val="ListNumber"/>
      </w:pPr>
      <w:r>
        <w:rPr>
          <w:sz w:val="22"/>
        </w:rPr>
        <w:t xml:space="preserve">Run </w:t>
      </w:r>
      <w:r>
        <w:rPr>
          <w:rFonts w:ascii="Courier New" w:hAnsi="Courier New"/>
          <w:sz w:val="22"/>
        </w:rPr>
        <w:t>npx tsc --noEmit</w:t>
      </w:r>
      <w:r>
        <w:rPr>
          <w:sz w:val="22"/>
        </w:rPr>
      </w:r>
    </w:p>
    <w:p>
      <w:pPr>
        <w:pStyle w:val="ListNumber"/>
      </w:pPr>
      <w:r>
        <w:rPr>
          <w:sz w:val="22"/>
        </w:rPr>
        <w:t xml:space="preserve">Commit: </w:t>
      </w:r>
      <w:r>
        <w:rPr>
          <w:rFonts w:ascii="Courier New" w:hAnsi="Courier New"/>
          <w:sz w:val="22"/>
        </w:rPr>
        <w:t>Docs: move all markdown documentation files into docs/ directory</w:t>
      </w:r>
      <w:r>
        <w:rPr>
          <w:sz w:val="22"/>
        </w:rPr>
      </w:r>
    </w:p>
    <w:p>
      <w:r>
        <w:rPr>
          <w:sz w:val="22"/>
        </w:rPr>
      </w:r>
      <w:r>
        <w:rPr>
          <w:b/>
          <w:sz w:val="22"/>
        </w:rPr>
        <w:t>Files to move</w:t>
      </w:r>
      <w:r>
        <w:rPr>
          <w:sz w:val="22"/>
        </w:rPr>
        <w:t>:</w:t>
      </w:r>
    </w:p>
    <w:p>
      <w:pPr>
        <w:spacing w:before="80" w:after="80"/>
        <w:ind w:left="432"/>
        <w:shd w:val="clear" w:color="auto" w:fill="F0F0F0"/>
      </w:pPr>
      <w:r>
        <w:rPr>
          <w:rFonts w:ascii="Courier New" w:hAnsi="Courier New"/>
          <w:sz w:val="17"/>
        </w:rPr>
        <w:t>CMS_STATUS.md → docs/CMS_STATUS.md</w:t>
        <w:br/>
        <w:t>AGENTS.md → docs/AGENTS.md</w:t>
        <w:br/>
        <w:t>ESTABIZZ_PROJECT_MASTER_CONTEXT.md → docs/ESTABIZZ_PROJECT_MASTER_CONTEXT.md</w:t>
        <w:br/>
        <w:t>ESTABIZZ_AGENT_OPERATING_GUIDE.md → docs/ESTABIZZ_AGENT_OPERATING_GUIDE.md</w:t>
        <w:br/>
        <w:t>ESTABIZZ_TECHNICAL_ARCHITECTURE.md → docs/ESTABIZZ_TECHNICAL_ARCHITECTURE.md</w:t>
        <w:br/>
        <w:t>ESTABIZZ_MODULE_INVENTORY.md → docs/ESTABIZZ_MODULE_INVENTORY.md</w:t>
        <w:br/>
        <w:t>ESTABIZZ_API_DATABASE_MAP.md → docs/ESTABIZZ_API_DATABASE_MAP.md</w:t>
        <w:br/>
        <w:t>ESTABIZZ_SECURITY_PERMISSION_MAP.md → docs/ESTABIZZ_SECURITY_PERMISSION_MAP.md</w:t>
        <w:br/>
        <w:t>ESTABIZZ_CURRENT_COMPLETION_STATUS.md → docs/ESTABIZZ_CURRENT_COMPLETION_STATUS.md</w:t>
        <w:br/>
        <w:t>ESTABIZZ_TECHNICAL_DEBT_REGISTER.md → docs/ESTABIZZ_TECHNICAL_DEBT_REGISTER.md</w:t>
        <w:br/>
        <w:t>ESTABIZZ_FUTURE_PRODUCT_ROADMAP.md → docs/ESTABIZZ_FUTURE_PRODUCT_ROADMAP.md</w:t>
        <w:br/>
        <w:t>ESTABIZZ_NEXT_20_TASKS.md → docs/ESTABIZZ_NEXT_20_TASKS.md</w:t>
        <w:br/>
        <w:t>ESTABIZZ_REPOSITORY_STRUCTURE_MAP.md → docs/ESTABIZZ_REPOSITORY_STRUCTURE_MAP.md</w:t>
        <w:br/>
        <w:t>ESTABIZZ_FILE_CLASSIFICATION_REGISTER.md → docs/ESTABIZZ_FILE_CLASSIFICATION_REGISTER.md</w:t>
        <w:br/>
        <w:t>ESTABIZZ_DUPLICATE_UNUSED_FILE_REPORT.md → docs/ESTABIZZ_DUPLICATE_UNUSED_FILE_REPORT.md</w:t>
        <w:br/>
        <w:t>ESTABIZZ_RECOMMENDED_FOLDER_STRUCTURE.md → docs/ESTABIZZ_RECOMMENDED_FOLDER_STRUCTURE.md</w:t>
        <w:br/>
        <w:t>ESTABIZZ_FOLDER_CLEANUP_PLAN.md → docs/ESTABIZZ_FOLDER_CLEANUP_PLAN.md</w:t>
        <w:br/>
        <w:t>ADMIN_OS_DISASTER_RECOVERY.md → docs/ADMIN_OS_DISASTER_RECOVERY.md</w:t>
        <w:br/>
        <w:t>ADMIN_OS_PRODUCTION_READINESS.md → docs/ADMIN_OS_PRODUCTION_READINESS.md</w:t>
        <w:br/>
        <w:t>ADMIN_OS_SECURITY_MATRIX.md → docs/ADMIN_OS_SECURITY_MATRIX.md</w:t>
        <w:br/>
        <w:t>ADMIN_OS_SEO_DEPLOYMENT_CHECKLIST.md → docs/ADMIN_OS_SEO_DEPLOYMENT_CHECKLIST.md</w:t>
        <w:br/>
        <w:t>ADMIN_OS_STAGING_RELEASE_PACKAGE.md → docs/ADMIN_OS_STAGING_RELEASE_PACKAGE.md</w:t>
        <w:br/>
        <w:t>SECURITY_INCIDENT_S2.md → docs/SECURITY_INCIDENT_S2.md</w:t>
      </w:r>
    </w:p>
    <w:p>
      <w:r>
        <w:rPr>
          <w:sz w:val="22"/>
        </w:rPr>
      </w:r>
      <w:r>
        <w:rPr>
          <w:b/>
          <w:sz w:val="22"/>
        </w:rPr>
        <w:t>Note</w:t>
      </w:r>
      <w:r>
        <w:rPr>
          <w:sz w:val="22"/>
        </w:rPr>
        <w:t>: AGENTS.md may need to remain at the root if external agent systems expect it there. Check before moving.</w:t>
      </w:r>
    </w:p>
    <w:p/>
    <w:p>
      <w:pPr>
        <w:pStyle w:val="Heading2"/>
      </w:pPr>
      <w:r>
        <w:rPr>
          <w:color w:val="1E40AF"/>
          <w:sz w:val="30"/>
        </w:rPr>
        <w:t>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Phase</w:t>
            </w:r>
          </w:p>
        </w:tc>
        <w:tc>
          <w:tcPr>
            <w:tcW w:type="dxa" w:w="1728"/>
          </w:tcPr>
          <w:p>
            <w:r>
              <w:rPr>
                <w:b/>
                <w:sz w:val="19"/>
              </w:rPr>
              <w:t>Actions</w:t>
            </w:r>
          </w:p>
        </w:tc>
        <w:tc>
          <w:tcPr>
            <w:tcW w:type="dxa" w:w="1728"/>
          </w:tcPr>
          <w:p>
            <w:r>
              <w:rPr>
                <w:b/>
                <w:sz w:val="19"/>
              </w:rPr>
              <w:t>Priority</w:t>
            </w:r>
          </w:p>
        </w:tc>
        <w:tc>
          <w:tcPr>
            <w:tcW w:type="dxa" w:w="1728"/>
          </w:tcPr>
          <w:p>
            <w:r>
              <w:rPr>
                <w:b/>
                <w:sz w:val="19"/>
              </w:rPr>
              <w:t>Effort</w:t>
            </w:r>
          </w:p>
        </w:tc>
        <w:tc>
          <w:tcPr>
            <w:tcW w:type="dxa" w:w="1728"/>
          </w:tcPr>
          <w:p>
            <w:r>
              <w:rPr>
                <w:b/>
                <w:sz w:val="19"/>
              </w:rPr>
              <w:t>Risk</w:t>
            </w:r>
          </w:p>
        </w:tc>
      </w:tr>
      <w:tr>
        <w:tc>
          <w:tcPr>
            <w:tcW w:type="dxa" w:w="1728"/>
          </w:tcPr>
          <w:p>
            <w:r>
              <w:rPr>
                <w:sz w:val="19"/>
              </w:rPr>
              <w:t>1</w:t>
            </w:r>
          </w:p>
        </w:tc>
        <w:tc>
          <w:tcPr>
            <w:tcW w:type="dxa" w:w="1728"/>
          </w:tcPr>
          <w:p>
            <w:r>
              <w:rPr>
                <w:sz w:val="19"/>
              </w:rPr>
            </w:r>
            <w:r>
              <w:rPr>
                <w:rFonts w:ascii="Courier New" w:hAnsi="Courier New"/>
                <w:sz w:val="20"/>
              </w:rPr>
              <w:t>.gitignore</w:t>
            </w:r>
            <w:r>
              <w:rPr>
                <w:sz w:val="22"/>
              </w:rPr>
              <w:t xml:space="preserve"> fixes (2 actions)</w:t>
            </w:r>
          </w:p>
        </w:tc>
        <w:tc>
          <w:tcPr>
            <w:tcW w:type="dxa" w:w="1728"/>
          </w:tcPr>
          <w:p>
            <w:r>
              <w:rPr>
                <w:sz w:val="19"/>
              </w:rPr>
              <w:t>P0</w:t>
            </w:r>
          </w:p>
        </w:tc>
        <w:tc>
          <w:tcPr>
            <w:tcW w:type="dxa" w:w="1728"/>
          </w:tcPr>
          <w:p>
            <w:r>
              <w:rPr>
                <w:sz w:val="19"/>
              </w:rPr>
              <w:t>Trivial</w:t>
            </w:r>
          </w:p>
        </w:tc>
        <w:tc>
          <w:tcPr>
            <w:tcW w:type="dxa" w:w="1728"/>
          </w:tcPr>
          <w:p>
            <w:r>
              <w:rPr>
                <w:sz w:val="19"/>
              </w:rPr>
              <w:t>None</w:t>
            </w:r>
          </w:p>
        </w:tc>
      </w:tr>
      <w:tr>
        <w:tc>
          <w:tcPr>
            <w:tcW w:type="dxa" w:w="1728"/>
          </w:tcPr>
          <w:p>
            <w:r>
              <w:rPr>
                <w:sz w:val="19"/>
              </w:rPr>
              <w:t>2</w:t>
            </w:r>
          </w:p>
        </w:tc>
        <w:tc>
          <w:tcPr>
            <w:tcW w:type="dxa" w:w="1728"/>
          </w:tcPr>
          <w:p>
            <w:r>
              <w:rPr>
                <w:sz w:val="19"/>
              </w:rPr>
              <w:t>Delete empty/legacy files (3 actions)</w:t>
            </w:r>
          </w:p>
        </w:tc>
        <w:tc>
          <w:tcPr>
            <w:tcW w:type="dxa" w:w="1728"/>
          </w:tcPr>
          <w:p>
            <w:r>
              <w:rPr>
                <w:sz w:val="19"/>
              </w:rPr>
              <w:t>P0–P1</w:t>
            </w:r>
          </w:p>
        </w:tc>
        <w:tc>
          <w:tcPr>
            <w:tcW w:type="dxa" w:w="1728"/>
          </w:tcPr>
          <w:p>
            <w:r>
              <w:rPr>
                <w:sz w:val="19"/>
              </w:rPr>
              <w:t>Small</w:t>
            </w:r>
          </w:p>
        </w:tc>
        <w:tc>
          <w:tcPr>
            <w:tcW w:type="dxa" w:w="1728"/>
          </w:tcPr>
          <w:p>
            <w:r>
              <w:rPr>
                <w:sz w:val="19"/>
              </w:rPr>
              <w:t>None (verify imports first)</w:t>
            </w:r>
          </w:p>
        </w:tc>
      </w:tr>
      <w:tr>
        <w:tc>
          <w:tcPr>
            <w:tcW w:type="dxa" w:w="1728"/>
          </w:tcPr>
          <w:p>
            <w:r>
              <w:rPr>
                <w:sz w:val="19"/>
              </w:rPr>
              <w:t>3</w:t>
            </w:r>
          </w:p>
        </w:tc>
        <w:tc>
          <w:tcPr>
            <w:tcW w:type="dxa" w:w="1728"/>
          </w:tcPr>
          <w:p>
            <w:r>
              <w:rPr>
                <w:sz w:val="19"/>
              </w:rPr>
              <w:t xml:space="preserve">Resolve </w:t>
            </w:r>
            <w:r>
              <w:rPr>
                <w:rFonts w:ascii="Courier New" w:hAnsi="Courier New"/>
                <w:sz w:val="20"/>
              </w:rPr>
              <w:t>proxy.ts</w:t>
            </w:r>
            <w:r>
              <w:rPr>
                <w:sz w:val="22"/>
              </w:rPr>
            </w:r>
          </w:p>
        </w:tc>
        <w:tc>
          <w:tcPr>
            <w:tcW w:type="dxa" w:w="1728"/>
          </w:tcPr>
          <w:p>
            <w:r>
              <w:rPr>
                <w:sz w:val="19"/>
              </w:rPr>
              <w:t>P1</w:t>
            </w:r>
          </w:p>
        </w:tc>
        <w:tc>
          <w:tcPr>
            <w:tcW w:type="dxa" w:w="1728"/>
          </w:tcPr>
          <w:p>
            <w:r>
              <w:rPr>
                <w:sz w:val="19"/>
              </w:rPr>
              <w:t>Small</w:t>
            </w:r>
          </w:p>
        </w:tc>
        <w:tc>
          <w:tcPr>
            <w:tcW w:type="dxa" w:w="1728"/>
          </w:tcPr>
          <w:p>
            <w:r>
              <w:rPr>
                <w:sz w:val="19"/>
              </w:rPr>
              <w:t>Low (test locally before deploy)</w:t>
            </w:r>
          </w:p>
        </w:tc>
      </w:tr>
      <w:tr>
        <w:tc>
          <w:tcPr>
            <w:tcW w:type="dxa" w:w="1728"/>
          </w:tcPr>
          <w:p>
            <w:r>
              <w:rPr>
                <w:sz w:val="19"/>
              </w:rPr>
              <w:t>4</w:t>
            </w:r>
          </w:p>
        </w:tc>
        <w:tc>
          <w:tcPr>
            <w:tcW w:type="dxa" w:w="1728"/>
          </w:tcPr>
          <w:p>
            <w:r>
              <w:rPr>
                <w:sz w:val="19"/>
              </w:rPr>
              <w:t xml:space="preserve">Fix </w:t>
            </w:r>
            <w:r>
              <w:rPr>
                <w:rFonts w:ascii="Courier New" w:hAnsi="Courier New"/>
                <w:sz w:val="20"/>
              </w:rPr>
              <w:t>RegulatorySevices.tsx</w:t>
            </w:r>
            <w:r>
              <w:rPr>
                <w:sz w:val="22"/>
              </w:rPr>
              <w:t xml:space="preserve"> typo</w:t>
            </w:r>
          </w:p>
        </w:tc>
        <w:tc>
          <w:tcPr>
            <w:tcW w:type="dxa" w:w="1728"/>
          </w:tcPr>
          <w:p>
            <w:r>
              <w:rPr>
                <w:sz w:val="19"/>
              </w:rPr>
              <w:t>P2</w:t>
            </w:r>
          </w:p>
        </w:tc>
        <w:tc>
          <w:tcPr>
            <w:tcW w:type="dxa" w:w="1728"/>
          </w:tcPr>
          <w:p>
            <w:r>
              <w:rPr>
                <w:sz w:val="19"/>
              </w:rPr>
              <w:t>Small</w:t>
            </w:r>
          </w:p>
        </w:tc>
        <w:tc>
          <w:tcPr>
            <w:tcW w:type="dxa" w:w="1728"/>
          </w:tcPr>
          <w:p>
            <w:r>
              <w:rPr>
                <w:sz w:val="19"/>
              </w:rPr>
              <w:t>Low (update imports)</w:t>
            </w:r>
          </w:p>
        </w:tc>
      </w:tr>
      <w:tr>
        <w:tc>
          <w:tcPr>
            <w:tcW w:type="dxa" w:w="1728"/>
          </w:tcPr>
          <w:p>
            <w:r>
              <w:rPr>
                <w:sz w:val="19"/>
              </w:rPr>
              <w:t>5</w:t>
            </w:r>
          </w:p>
        </w:tc>
        <w:tc>
          <w:tcPr>
            <w:tcW w:type="dxa" w:w="1728"/>
          </w:tcPr>
          <w:p>
            <w:r>
              <w:rPr>
                <w:sz w:val="19"/>
              </w:rPr>
              <w:t xml:space="preserve">Move </w:t>
            </w:r>
            <w:r>
              <w:rPr>
                <w:rFonts w:ascii="Courier New" w:hAnsi="Courier New"/>
                <w:sz w:val="20"/>
              </w:rPr>
              <w:t>FAQAccordion.tsx</w:t>
            </w:r>
            <w:r>
              <w:rPr>
                <w:sz w:val="22"/>
              </w:rPr>
            </w:r>
          </w:p>
        </w:tc>
        <w:tc>
          <w:tcPr>
            <w:tcW w:type="dxa" w:w="1728"/>
          </w:tcPr>
          <w:p>
            <w:r>
              <w:rPr>
                <w:sz w:val="19"/>
              </w:rPr>
              <w:t>P3</w:t>
            </w:r>
          </w:p>
        </w:tc>
        <w:tc>
          <w:tcPr>
            <w:tcW w:type="dxa" w:w="1728"/>
          </w:tcPr>
          <w:p>
            <w:r>
              <w:rPr>
                <w:sz w:val="19"/>
              </w:rPr>
              <w:t>Small</w:t>
            </w:r>
          </w:p>
        </w:tc>
        <w:tc>
          <w:tcPr>
            <w:tcW w:type="dxa" w:w="1728"/>
          </w:tcPr>
          <w:p>
            <w:r>
              <w:rPr>
                <w:sz w:val="19"/>
              </w:rPr>
              <w:t>Low (update imports)</w:t>
            </w:r>
          </w:p>
        </w:tc>
      </w:tr>
      <w:tr>
        <w:tc>
          <w:tcPr>
            <w:tcW w:type="dxa" w:w="1728"/>
          </w:tcPr>
          <w:p>
            <w:r>
              <w:rPr>
                <w:sz w:val="19"/>
              </w:rPr>
              <w:t>6</w:t>
            </w:r>
          </w:p>
        </w:tc>
        <w:tc>
          <w:tcPr>
            <w:tcW w:type="dxa" w:w="1728"/>
          </w:tcPr>
          <w:p>
            <w:r>
              <w:rPr>
                <w:sz w:val="19"/>
              </w:rPr>
              <w:t>Consolidate redirect routes</w:t>
            </w:r>
          </w:p>
        </w:tc>
        <w:tc>
          <w:tcPr>
            <w:tcW w:type="dxa" w:w="1728"/>
          </w:tcPr>
          <w:p>
            <w:r>
              <w:rPr>
                <w:sz w:val="19"/>
              </w:rPr>
              <w:t>P3</w:t>
            </w:r>
          </w:p>
        </w:tc>
        <w:tc>
          <w:tcPr>
            <w:tcW w:type="dxa" w:w="1728"/>
          </w:tcPr>
          <w:p>
            <w:r>
              <w:rPr>
                <w:sz w:val="19"/>
              </w:rPr>
              <w:t>Medium</w:t>
            </w:r>
          </w:p>
        </w:tc>
        <w:tc>
          <w:tcPr>
            <w:tcW w:type="dxa" w:w="1728"/>
          </w:tcPr>
          <w:p>
            <w:r>
              <w:rPr>
                <w:sz w:val="19"/>
              </w:rPr>
              <w:t>Low (test all redirects)</w:t>
            </w:r>
          </w:p>
        </w:tc>
      </w:tr>
      <w:tr>
        <w:tc>
          <w:tcPr>
            <w:tcW w:type="dxa" w:w="1728"/>
          </w:tcPr>
          <w:p>
            <w:r>
              <w:rPr>
                <w:sz w:val="19"/>
              </w:rPr>
              <w:t>7</w:t>
            </w:r>
          </w:p>
        </w:tc>
        <w:tc>
          <w:tcPr>
            <w:tcW w:type="dxa" w:w="1728"/>
          </w:tcPr>
          <w:p>
            <w:r>
              <w:rPr>
                <w:sz w:val="19"/>
              </w:rPr>
              <w:t xml:space="preserve">Create </w:t>
            </w:r>
            <w:r>
              <w:rPr>
                <w:rFonts w:ascii="Courier New" w:hAnsi="Courier New"/>
                <w:sz w:val="20"/>
              </w:rPr>
              <w:t>docs/</w:t>
            </w:r>
            <w:r>
              <w:rPr>
                <w:sz w:val="22"/>
              </w:rPr>
              <w:t xml:space="preserve"> + move .md files</w:t>
            </w:r>
          </w:p>
        </w:tc>
        <w:tc>
          <w:tcPr>
            <w:tcW w:type="dxa" w:w="1728"/>
          </w:tcPr>
          <w:p>
            <w:r>
              <w:rPr>
                <w:sz w:val="19"/>
              </w:rPr>
              <w:t>P3</w:t>
            </w:r>
          </w:p>
        </w:tc>
        <w:tc>
          <w:tcPr>
            <w:tcW w:type="dxa" w:w="1728"/>
          </w:tcPr>
          <w:p>
            <w:r>
              <w:rPr>
                <w:sz w:val="19"/>
              </w:rPr>
              <w:t>Medium</w:t>
            </w:r>
          </w:p>
        </w:tc>
        <w:tc>
          <w:tcPr>
            <w:tcW w:type="dxa" w:w="1728"/>
          </w:tcPr>
          <w:p>
            <w:r>
              <w:rPr>
                <w:sz w:val="19"/>
              </w:rPr>
              <w:t>Low (update cross-references)</w:t>
            </w:r>
          </w:p>
        </w:tc>
      </w:tr>
    </w:tbl>
    <w:p/>
    <w:p>
      <w:r>
        <w:rPr>
          <w:sz w:val="22"/>
        </w:rPr>
      </w:r>
      <w:r>
        <w:rPr>
          <w:b/>
          <w:sz w:val="22"/>
        </w:rPr>
        <w:t>Start with Phase 1 and Phase 2</w:t>
      </w:r>
      <w:r>
        <w:rPr>
          <w:sz w:val="22"/>
        </w:rPr>
        <w:t xml:space="preserve"> — they are zero-risk and do not require import changes or testing.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