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6F"/>
          <w:sz w:val="19"/>
        </w:rPr>
        <w:t>CHARLES DARWIN UNIVERSITY · FACULTY OF SCIENCE &amp; TECHNOLOGY</w:t>
        <w:br/>
        <w:t>MASTER OF INFORMATION TECHNOLOGY · PRT631 CAPSTONE DEFENSE (WEEK 12)</w:t>
      </w:r>
    </w:p>
    <w:p>
      <w:pPr>
        <w:spacing w:before="240" w:after="80"/>
        <w:jc w:val="center"/>
      </w:pPr>
      <w:r>
        <w:rPr>
          <w:b/>
          <w:color w:val="0F2841"/>
          <w:sz w:val="44"/>
        </w:rPr>
        <w:t>TrackPoint: Presentation Delivery Script</w:t>
        <w:br/>
        <w:t>&amp; Oral Defense Manual</w:t>
      </w:r>
    </w:p>
    <w:p>
      <w:pPr>
        <w:spacing w:after="320"/>
        <w:jc w:val="center"/>
      </w:pPr>
      <w:r>
        <w:rPr>
          <w:i/>
          <w:color w:val="46505F"/>
          <w:sz w:val="21"/>
        </w:rPr>
        <w:t>Word-for-Word Spoken Delivery Script, Slide Visual Cues, Stage Directions, Live Software Demonstration Walkthrough, and Examiner Q&amp;A Guide</w:t>
        <w:br/>
        <w:t>Specifically Mapped to TrackPoint_Final_Presentation.pptx (20 Slides)</w:t>
      </w:r>
    </w:p>
    <w:tbl>
      <w:tblPr>
        <w:tblW w:type="auto" w:w="0"/>
        <w:jc w:val="center"/>
        <w:tblLayout w:type="fixed"/>
        <w:tblLook w:firstColumn="1" w:firstRow="1" w:lastColumn="0" w:lastRow="0" w:noHBand="0" w:noVBand="1" w:val="04A0"/>
      </w:tblPr>
      <w:tblGrid>
        <w:gridCol w:w="4896"/>
        <w:gridCol w:w="4896"/>
      </w:tblGrid>
      <w:tr>
        <w:trPr>
          <w:cantSplit/>
          <w:tblHeader/>
        </w:trPr>
        <w:tc>
          <w:tcPr>
            <w:tcW w:type="dxa" w:w="4896"/>
            <w:vAlign w:val="center"/>
            <w:tcMar>
              <w:top w:w="90" w:type="dxa"/>
              <w:bottom w:w="90" w:type="dxa"/>
              <w:left w:w="140" w:type="dxa"/>
              <w:right w:w="140" w:type="dxa"/>
            </w:tcMar>
            <w:shd w:val="clear" w:color="auto" w:fill="1A476F"/>
            <w:tcBorders>
              <w:top w:val="single" w:sz="4" w:space="0" w:color="1A476F"/>
              <w:bottom w:val="single" w:sz="12" w:space="0" w:color="0F2841"/>
              <w:left w:val="none"/>
              <w:right w:val="none"/>
            </w:tcBorders>
          </w:tcPr>
          <w:p>
            <w:pPr>
              <w:jc w:val="left"/>
            </w:pPr>
            <w:r>
              <w:rPr>
                <w:b/>
                <w:color w:val="FFFFFF"/>
                <w:sz w:val="17"/>
              </w:rPr>
              <w:t>Candidate / Presenter</w:t>
            </w:r>
          </w:p>
        </w:tc>
        <w:tc>
          <w:tcPr>
            <w:tcW w:type="dxa" w:w="4896"/>
            <w:vAlign w:val="center"/>
            <w:tcMar>
              <w:top w:w="90" w:type="dxa"/>
              <w:bottom w:w="90" w:type="dxa"/>
              <w:left w:w="140" w:type="dxa"/>
              <w:right w:w="140" w:type="dxa"/>
            </w:tcMar>
            <w:shd w:val="clear" w:color="auto" w:fill="1A476F"/>
            <w:tcBorders>
              <w:top w:val="single" w:sz="4" w:space="0" w:color="1A476F"/>
              <w:bottom w:val="single" w:sz="12" w:space="0" w:color="0F2841"/>
              <w:left w:val="none"/>
              <w:right w:val="none"/>
            </w:tcBorders>
          </w:tcPr>
          <w:p>
            <w:pPr>
              <w:jc w:val="left"/>
            </w:pPr>
            <w:r>
              <w:rPr>
                <w:b/>
                <w:color w:val="FFFFFF"/>
                <w:sz w:val="17"/>
              </w:rPr>
              <w:t>Mahir Sadman Rushad | Student ID: S395312</w:t>
            </w:r>
          </w:p>
        </w:tc>
      </w:tr>
      <w:tr>
        <w:trPr>
          <w:cantSplit/>
        </w:trPr>
        <w:tc>
          <w:tcPr>
            <w:tcW w:type="dxa" w:w="4896"/>
            <w:vAlign w:val="center"/>
            <w:tcMar>
              <w:top w:w="90" w:type="dxa"/>
              <w:bottom w:w="90" w:type="dxa"/>
              <w:left w:w="140" w:type="dxa"/>
              <w:right w:w="140" w:type="dxa"/>
            </w:tcMar>
            <w:shd w:val="clear" w:color="auto" w:fill="FFFFFF"/>
            <w:tcBorders>
              <w:top w:val="none" w:sz="4" w:space="0" w:color="CCCCCC"/>
              <w:bottom w:val="single" w:sz="4" w:space="0" w:color="E2E8F0"/>
              <w:left w:val="none" w:sz="4" w:space="0" w:color="CCCCCC"/>
              <w:right w:val="none" w:sz="4" w:space="0" w:color="CCCCCC"/>
            </w:tcBorders>
          </w:tcPr>
          <w:p>
            <w:r>
              <w:rPr>
                <w:b/>
                <w:color w:val="1E293B"/>
                <w:sz w:val="17"/>
              </w:rPr>
              <w:t>Course &amp; Degree</w:t>
            </w:r>
          </w:p>
        </w:tc>
        <w:tc>
          <w:tcPr>
            <w:tcW w:type="dxa" w:w="4896"/>
            <w:vAlign w:val="center"/>
            <w:tcMar>
              <w:top w:w="90" w:type="dxa"/>
              <w:bottom w:w="90" w:type="dxa"/>
              <w:left w:w="140" w:type="dxa"/>
              <w:right w:w="14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Master of Information Technology | PRT631 Capstone Project</w:t>
            </w:r>
          </w:p>
        </w:tc>
      </w:tr>
      <w:tr>
        <w:trPr>
          <w:cantSplit/>
        </w:trPr>
        <w:tc>
          <w:tcPr>
            <w:tcW w:type="dxa" w:w="4896"/>
            <w:vAlign w:val="center"/>
            <w:tcMar>
              <w:top w:w="90" w:type="dxa"/>
              <w:bottom w:w="90" w:type="dxa"/>
              <w:left w:w="140" w:type="dxa"/>
              <w:right w:w="140" w:type="dxa"/>
            </w:tcMar>
            <w:shd w:val="clear" w:color="auto" w:fill="F8FAFC"/>
            <w:tcBorders>
              <w:top w:val="none" w:sz="4" w:space="0" w:color="CCCCCC"/>
              <w:bottom w:val="single" w:sz="4" w:space="0" w:color="E2E8F0"/>
              <w:left w:val="none" w:sz="4" w:space="0" w:color="CCCCCC"/>
              <w:right w:val="none" w:sz="4" w:space="0" w:color="CCCCCC"/>
            </w:tcBorders>
          </w:tcPr>
          <w:p>
            <w:r>
              <w:rPr>
                <w:b/>
                <w:color w:val="1E293B"/>
                <w:sz w:val="17"/>
              </w:rPr>
              <w:t>Institution &amp; Campus</w:t>
            </w:r>
          </w:p>
        </w:tc>
        <w:tc>
          <w:tcPr>
            <w:tcW w:type="dxa" w:w="4896"/>
            <w:vAlign w:val="center"/>
            <w:tcMar>
              <w:top w:w="90" w:type="dxa"/>
              <w:bottom w:w="90" w:type="dxa"/>
              <w:left w:w="140" w:type="dxa"/>
              <w:right w:w="14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Charles Darwin University (CDU) — Casuarina Campus, Darwin, NT</w:t>
            </w:r>
          </w:p>
        </w:tc>
      </w:tr>
      <w:tr>
        <w:trPr>
          <w:cantSplit/>
        </w:trPr>
        <w:tc>
          <w:tcPr>
            <w:tcW w:type="dxa" w:w="4896"/>
            <w:vAlign w:val="center"/>
            <w:tcMar>
              <w:top w:w="90" w:type="dxa"/>
              <w:bottom w:w="90" w:type="dxa"/>
              <w:left w:w="140" w:type="dxa"/>
              <w:right w:w="140" w:type="dxa"/>
            </w:tcMar>
            <w:shd w:val="clear" w:color="auto" w:fill="FFFFFF"/>
            <w:tcBorders>
              <w:top w:val="none" w:sz="4" w:space="0" w:color="CCCCCC"/>
              <w:bottom w:val="single" w:sz="4" w:space="0" w:color="E2E8F0"/>
              <w:left w:val="none" w:sz="4" w:space="0" w:color="CCCCCC"/>
              <w:right w:val="none" w:sz="4" w:space="0" w:color="CCCCCC"/>
            </w:tcBorders>
          </w:tcPr>
          <w:p>
            <w:r>
              <w:rPr>
                <w:b/>
                <w:color w:val="1E293B"/>
                <w:sz w:val="17"/>
              </w:rPr>
              <w:t>Industry Client</w:t>
            </w:r>
          </w:p>
        </w:tc>
        <w:tc>
          <w:tcPr>
            <w:tcW w:type="dxa" w:w="4896"/>
            <w:vAlign w:val="center"/>
            <w:tcMar>
              <w:top w:w="90" w:type="dxa"/>
              <w:bottom w:w="90" w:type="dxa"/>
              <w:left w:w="140" w:type="dxa"/>
              <w:right w:w="14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NorthLine Freight &amp; Logistics (Darwin Terminal / Alice Springs Depot)</w:t>
            </w:r>
          </w:p>
        </w:tc>
      </w:tr>
      <w:tr>
        <w:trPr>
          <w:cantSplit/>
        </w:trPr>
        <w:tc>
          <w:tcPr>
            <w:tcW w:type="dxa" w:w="4896"/>
            <w:vAlign w:val="center"/>
            <w:tcMar>
              <w:top w:w="90" w:type="dxa"/>
              <w:bottom w:w="90" w:type="dxa"/>
              <w:left w:w="140" w:type="dxa"/>
              <w:right w:w="140" w:type="dxa"/>
            </w:tcMar>
            <w:shd w:val="clear" w:color="auto" w:fill="F8FAFC"/>
            <w:tcBorders>
              <w:top w:val="none" w:sz="4" w:space="0" w:color="CCCCCC"/>
              <w:bottom w:val="single" w:sz="4" w:space="0" w:color="E2E8F0"/>
              <w:left w:val="none" w:sz="4" w:space="0" w:color="CCCCCC"/>
              <w:right w:val="none" w:sz="4" w:space="0" w:color="CCCCCC"/>
            </w:tcBorders>
          </w:tcPr>
          <w:p>
            <w:r>
              <w:rPr>
                <w:b/>
                <w:color w:val="1E293B"/>
                <w:sz w:val="17"/>
              </w:rPr>
              <w:t>Project Title</w:t>
            </w:r>
          </w:p>
        </w:tc>
        <w:tc>
          <w:tcPr>
            <w:tcW w:type="dxa" w:w="4896"/>
            <w:vAlign w:val="center"/>
            <w:tcMar>
              <w:top w:w="90" w:type="dxa"/>
              <w:bottom w:w="90" w:type="dxa"/>
              <w:left w:w="140" w:type="dxa"/>
              <w:right w:w="14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TrackPoint — Fleet Dispatch, Stuart Hwy Telematics &amp; Chain of Custody</w:t>
            </w:r>
          </w:p>
        </w:tc>
      </w:tr>
      <w:tr>
        <w:trPr>
          <w:cantSplit/>
        </w:trPr>
        <w:tc>
          <w:tcPr>
            <w:tcW w:type="dxa" w:w="4896"/>
            <w:vAlign w:val="center"/>
            <w:tcMar>
              <w:top w:w="90" w:type="dxa"/>
              <w:bottom w:w="90" w:type="dxa"/>
              <w:left w:w="140" w:type="dxa"/>
              <w:right w:w="140" w:type="dxa"/>
            </w:tcMar>
            <w:shd w:val="clear" w:color="auto" w:fill="FFFFFF"/>
            <w:tcBorders>
              <w:top w:val="none" w:sz="4" w:space="0" w:color="CCCCCC"/>
              <w:bottom w:val="single" w:sz="4" w:space="0" w:color="E2E8F0"/>
              <w:left w:val="none" w:sz="4" w:space="0" w:color="CCCCCC"/>
              <w:right w:val="none" w:sz="4" w:space="0" w:color="CCCCCC"/>
            </w:tcBorders>
          </w:tcPr>
          <w:p>
            <w:r>
              <w:rPr>
                <w:b/>
                <w:color w:val="1E293B"/>
                <w:sz w:val="17"/>
              </w:rPr>
              <w:t>Allocated Oral Time</w:t>
            </w:r>
          </w:p>
        </w:tc>
        <w:tc>
          <w:tcPr>
            <w:tcW w:type="dxa" w:w="4896"/>
            <w:vAlign w:val="center"/>
            <w:tcMar>
              <w:top w:w="90" w:type="dxa"/>
              <w:bottom w:w="90" w:type="dxa"/>
              <w:left w:w="140" w:type="dxa"/>
              <w:right w:w="14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15–18 Minutes Presentation + 5–7 Minutes Live Browser Demo &amp; Defense</w:t>
            </w:r>
          </w:p>
        </w:tc>
      </w:tr>
      <w:tr>
        <w:trPr>
          <w:cantSplit/>
        </w:trPr>
        <w:tc>
          <w:tcPr>
            <w:tcW w:type="dxa" w:w="4896"/>
            <w:vAlign w:val="center"/>
            <w:tcMar>
              <w:top w:w="90" w:type="dxa"/>
              <w:bottom w:w="90" w:type="dxa"/>
              <w:left w:w="140" w:type="dxa"/>
              <w:right w:w="140" w:type="dxa"/>
            </w:tcMar>
            <w:shd w:val="clear" w:color="auto" w:fill="F8FAFC"/>
            <w:tcBorders>
              <w:top w:val="none" w:sz="4" w:space="0" w:color="CCCCCC"/>
              <w:bottom w:val="single" w:sz="4" w:space="0" w:color="E2E8F0"/>
              <w:left w:val="none" w:sz="4" w:space="0" w:color="CCCCCC"/>
              <w:right w:val="none" w:sz="4" w:space="0" w:color="CCCCCC"/>
            </w:tcBorders>
          </w:tcPr>
          <w:p>
            <w:r>
              <w:rPr>
                <w:b/>
                <w:color w:val="1E293B"/>
                <w:sz w:val="17"/>
              </w:rPr>
              <w:t>Live Production URL</w:t>
            </w:r>
          </w:p>
        </w:tc>
        <w:tc>
          <w:tcPr>
            <w:tcW w:type="dxa" w:w="4896"/>
            <w:vAlign w:val="center"/>
            <w:tcMar>
              <w:top w:w="90" w:type="dxa"/>
              <w:bottom w:w="90" w:type="dxa"/>
              <w:left w:w="140" w:type="dxa"/>
              <w:right w:w="14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https://trackpoint-platform.vercel.app</w:t>
            </w:r>
          </w:p>
        </w:tc>
      </w:tr>
      <w:tr>
        <w:trPr>
          <w:cantSplit/>
        </w:trPr>
        <w:tc>
          <w:tcPr>
            <w:tcW w:type="dxa" w:w="4896"/>
            <w:vAlign w:val="center"/>
            <w:tcMar>
              <w:top w:w="90" w:type="dxa"/>
              <w:bottom w:w="90" w:type="dxa"/>
              <w:left w:w="140" w:type="dxa"/>
              <w:right w:w="140" w:type="dxa"/>
            </w:tcMar>
            <w:shd w:val="clear" w:color="auto" w:fill="FFFFFF"/>
            <w:tcBorders>
              <w:top w:val="none" w:sz="4" w:space="0" w:color="CCCCCC"/>
              <w:bottom w:val="single" w:sz="4" w:space="0" w:color="E2E8F0"/>
              <w:left w:val="none" w:sz="4" w:space="0" w:color="CCCCCC"/>
              <w:right w:val="none" w:sz="4" w:space="0" w:color="CCCCCC"/>
            </w:tcBorders>
          </w:tcPr>
          <w:p>
            <w:r>
              <w:rPr>
                <w:b/>
                <w:color w:val="1E293B"/>
                <w:sz w:val="17"/>
              </w:rPr>
              <w:t>Code Repository</w:t>
            </w:r>
          </w:p>
        </w:tc>
        <w:tc>
          <w:tcPr>
            <w:tcW w:type="dxa" w:w="4896"/>
            <w:vAlign w:val="center"/>
            <w:tcMar>
              <w:top w:w="90" w:type="dxa"/>
              <w:bottom w:w="90" w:type="dxa"/>
              <w:left w:w="140" w:type="dxa"/>
              <w:right w:w="14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https://github.com/thisisrushad/trackpoint (Next.js 15 App Router)</w:t>
            </w:r>
          </w:p>
        </w:tc>
      </w:tr>
    </w:tbl>
    <w:p>
      <w:r>
        <w:br w:type="page"/>
      </w:r>
    </w:p>
    <w:p>
      <w:pPr>
        <w:keepNext/>
        <w:spacing w:before="160" w:after="60"/>
      </w:pPr>
      <w:r>
        <w:rPr>
          <w:b/>
          <w:color w:val="1A476F"/>
          <w:sz w:val="26"/>
        </w:rPr>
        <w:t>SECTION 1: PRESENTATION STRATEGY &amp; TIMING ROADMAP</w:t>
      </w:r>
    </w:p>
    <w:p>
      <w:pPr>
        <w:keepNext/>
        <w:spacing w:after="160"/>
      </w:pPr>
      <w:r>
        <w:t>This presentation is structured for an academic capstone defense before a university grading panel. The pacing maintains an authoritative, energetic, and professional rhythm at an average speaking rate of 130 to 140 words per minute. Slides 1 through 7 establish the business setting, problem statement, TOGAF architecture, and offline engineering breakthroughs. Slides 8 through 16 walk through the live production system across all 8 closed-loop stages. Slides 17 through 20 address threats, risk contingencies, future horizons, and quantified commercial ROI.</w:t>
      </w:r>
    </w:p>
    <w:tbl>
      <w:tblPr>
        <w:tblW w:type="auto" w:w="0"/>
        <w:jc w:val="center"/>
        <w:tblLayout w:type="fixed"/>
        <w:tblLook w:firstColumn="1" w:firstRow="1" w:lastColumn="0" w:lastRow="0" w:noHBand="0" w:noVBand="1" w:val="04A0"/>
      </w:tblPr>
      <w:tblGrid>
        <w:gridCol w:w="1958"/>
        <w:gridCol w:w="1958"/>
        <w:gridCol w:w="1958"/>
        <w:gridCol w:w="1958"/>
        <w:gridCol w:w="1958"/>
      </w:tblGrid>
      <w:tr>
        <w:trPr>
          <w:cantSplit/>
          <w:tblHeader/>
        </w:trPr>
        <w:tc>
          <w:tcPr>
            <w:tcW w:type="dxa" w:w="1958"/>
            <w:vAlign w:val="center"/>
            <w:tcMar>
              <w:top w:w="50" w:type="dxa"/>
              <w:bottom w:w="50" w:type="dxa"/>
              <w:left w:w="90" w:type="dxa"/>
              <w:right w:w="90" w:type="dxa"/>
            </w:tcMar>
            <w:shd w:val="clear" w:color="auto" w:fill="1A476F"/>
            <w:tcBorders>
              <w:top w:val="single" w:sz="4" w:space="0" w:color="1A476F"/>
              <w:bottom w:val="single" w:sz="12" w:space="0" w:color="0F2841"/>
              <w:left w:val="none"/>
              <w:right w:val="none"/>
            </w:tcBorders>
          </w:tcPr>
          <w:p>
            <w:pPr>
              <w:jc w:val="left"/>
            </w:pPr>
            <w:r>
              <w:rPr>
                <w:b/>
                <w:color w:val="FFFFFF"/>
                <w:sz w:val="17"/>
              </w:rPr>
              <w:t>Slide #</w:t>
            </w:r>
          </w:p>
        </w:tc>
        <w:tc>
          <w:tcPr>
            <w:tcW w:type="dxa" w:w="1958"/>
            <w:vAlign w:val="center"/>
            <w:tcMar>
              <w:top w:w="50" w:type="dxa"/>
              <w:bottom w:w="50" w:type="dxa"/>
              <w:left w:w="90" w:type="dxa"/>
              <w:right w:w="90" w:type="dxa"/>
            </w:tcMar>
            <w:shd w:val="clear" w:color="auto" w:fill="1A476F"/>
            <w:tcBorders>
              <w:top w:val="single" w:sz="4" w:space="0" w:color="1A476F"/>
              <w:bottom w:val="single" w:sz="12" w:space="0" w:color="0F2841"/>
              <w:left w:val="none"/>
              <w:right w:val="none"/>
            </w:tcBorders>
          </w:tcPr>
          <w:p>
            <w:pPr>
              <w:jc w:val="left"/>
            </w:pPr>
            <w:r>
              <w:rPr>
                <w:b/>
                <w:color w:val="FFFFFF"/>
                <w:sz w:val="17"/>
              </w:rPr>
              <w:t>Slide Title</w:t>
            </w:r>
          </w:p>
        </w:tc>
        <w:tc>
          <w:tcPr>
            <w:tcW w:type="dxa" w:w="1958"/>
            <w:vAlign w:val="center"/>
            <w:tcMar>
              <w:top w:w="50" w:type="dxa"/>
              <w:bottom w:w="50" w:type="dxa"/>
              <w:left w:w="90" w:type="dxa"/>
              <w:right w:w="90" w:type="dxa"/>
            </w:tcMar>
            <w:shd w:val="clear" w:color="auto" w:fill="1A476F"/>
            <w:tcBorders>
              <w:top w:val="single" w:sz="4" w:space="0" w:color="1A476F"/>
              <w:bottom w:val="single" w:sz="12" w:space="0" w:color="0F2841"/>
              <w:left w:val="none"/>
              <w:right w:val="none"/>
            </w:tcBorders>
          </w:tcPr>
          <w:p>
            <w:pPr>
              <w:jc w:val="left"/>
            </w:pPr>
            <w:r>
              <w:rPr>
                <w:b/>
                <w:color w:val="FFFFFF"/>
                <w:sz w:val="17"/>
              </w:rPr>
              <w:t>PRT631 Req</w:t>
            </w:r>
          </w:p>
        </w:tc>
        <w:tc>
          <w:tcPr>
            <w:tcW w:type="dxa" w:w="1958"/>
            <w:vAlign w:val="center"/>
            <w:tcMar>
              <w:top w:w="50" w:type="dxa"/>
              <w:bottom w:w="50" w:type="dxa"/>
              <w:left w:w="90" w:type="dxa"/>
              <w:right w:w="90" w:type="dxa"/>
            </w:tcMar>
            <w:shd w:val="clear" w:color="auto" w:fill="1A476F"/>
            <w:tcBorders>
              <w:top w:val="single" w:sz="4" w:space="0" w:color="1A476F"/>
              <w:bottom w:val="single" w:sz="12" w:space="0" w:color="0F2841"/>
              <w:left w:val="none"/>
              <w:right w:val="none"/>
            </w:tcBorders>
          </w:tcPr>
          <w:p>
            <w:pPr>
              <w:jc w:val="left"/>
            </w:pPr>
            <w:r>
              <w:rPr>
                <w:b/>
                <w:color w:val="FFFFFF"/>
                <w:sz w:val="17"/>
              </w:rPr>
              <w:t>Target (mm:ss)</w:t>
            </w:r>
          </w:p>
        </w:tc>
        <w:tc>
          <w:tcPr>
            <w:tcW w:type="dxa" w:w="1958"/>
            <w:vAlign w:val="center"/>
            <w:tcMar>
              <w:top w:w="50" w:type="dxa"/>
              <w:bottom w:w="50" w:type="dxa"/>
              <w:left w:w="90" w:type="dxa"/>
              <w:right w:w="90" w:type="dxa"/>
            </w:tcMar>
            <w:shd w:val="clear" w:color="auto" w:fill="1A476F"/>
            <w:tcBorders>
              <w:top w:val="single" w:sz="4" w:space="0" w:color="1A476F"/>
              <w:bottom w:val="single" w:sz="12" w:space="0" w:color="0F2841"/>
              <w:left w:val="none"/>
              <w:right w:val="none"/>
            </w:tcBorders>
          </w:tcPr>
          <w:p>
            <w:pPr>
              <w:jc w:val="left"/>
            </w:pPr>
            <w:r>
              <w:rPr>
                <w:b/>
                <w:color w:val="FFFFFF"/>
                <w:sz w:val="17"/>
              </w:rPr>
              <w:t>Key Talking Point / Demo Action</w:t>
            </w:r>
          </w:p>
        </w:tc>
      </w:tr>
      <w:tr>
        <w:trPr>
          <w:cantSplit/>
        </w:trPr>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1</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Title &amp; Credentials</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Intro</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0:00 - 0:45</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Formal opening, project scope, candidate credentials</w:t>
            </w:r>
          </w:p>
        </w:tc>
      </w:tr>
      <w:tr>
        <w:trPr>
          <w:cantSplit/>
        </w:trPr>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2</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Business Setting &amp; Region</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Req 1</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0:45 - 2:00</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Stuart Hwy corridor, 45°C heat, 800km cell dead-zones</w:t>
            </w:r>
          </w:p>
        </w:tc>
      </w:tr>
      <w:tr>
        <w:trPr>
          <w:cantSplit/>
        </w:trPr>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3</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The Problem Statement</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Req 2</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2:00 - 3:15</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15-hr blind spot, 45-min whiteboard lag, $400k trapped cash</w:t>
            </w:r>
          </w:p>
        </w:tc>
      </w:tr>
      <w:tr>
        <w:trPr>
          <w:cantSplit/>
        </w:trPr>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4</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Unified TrackPoint Solution</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Req 2</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3:15 - 4:30</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4 stakeholder portals, single operational thread</w:t>
            </w:r>
          </w:p>
        </w:tc>
      </w:tr>
      <w:tr>
        <w:trPr>
          <w:cantSplit/>
        </w:trPr>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5</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TOGAF Enterprise Architecture</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Req 3</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4:30 - 5:45</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TOGAF 4-Layer model (Business, App, Data, Tech)</w:t>
            </w:r>
          </w:p>
        </w:tc>
      </w:tr>
      <w:tr>
        <w:trPr>
          <w:cantSplit/>
        </w:trPr>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6</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Technical Stack Selection</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Req 4</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5:45 - 7:00</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Next.js 15, Prisma ORM, MongoDB Atlas, Leaflet GIS</w:t>
            </w:r>
          </w:p>
        </w:tc>
      </w:tr>
      <w:tr>
        <w:trPr>
          <w:cantSplit/>
        </w:trPr>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7</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Outback Offline Engine</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Req 5</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7:00 - 8:15</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4-stage state machine, LocalStorage buffer, UUID sync</w:t>
            </w:r>
          </w:p>
        </w:tc>
      </w:tr>
      <w:tr>
        <w:trPr>
          <w:cantSplit/>
        </w:trPr>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8</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Walkthrough Architecture</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Plan</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8:15 - 9:00</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8 closed-loop stages, digital thread overview</w:t>
            </w:r>
          </w:p>
        </w:tc>
      </w:tr>
      <w:tr>
        <w:trPr>
          <w:cantSplit/>
        </w:trPr>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9</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Stage 1: Customer Portal</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Req 4 (Walk)</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9:00 - 9:45</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DEMO: /customer (Sandra Wilson, dynamic quote)</w:t>
            </w:r>
          </w:p>
        </w:tc>
      </w:tr>
      <w:tr>
        <w:trPr>
          <w:cantSplit/>
        </w:trPr>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10</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Stage 2: Operations Dispatch</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Req 4 (Walk)</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9:45 - 10:45</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DEMO: /admin/dispatch (Sub-5s match, GCM check)</w:t>
            </w:r>
          </w:p>
        </w:tc>
      </w:tr>
      <w:tr>
        <w:trPr>
          <w:cantSplit/>
        </w:trPr>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11</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Stage 3: Corridor Telematics</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Req 4 (Walk)</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10:45 - 11:45</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DEMO: /admin/fleet (35 trucks, CAN-bus speed/fuel)</w:t>
            </w:r>
          </w:p>
        </w:tc>
      </w:tr>
      <w:tr>
        <w:trPr>
          <w:cantSplit/>
        </w:trPr>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12</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Stage 4: Driver In-Cab Console</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Req 4 (Walk)</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11:45 - 12:30</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DEMO: /driver/active (Dave Miller, NHVR fatigue)</w:t>
            </w:r>
          </w:p>
        </w:tc>
      </w:tr>
      <w:tr>
        <w:trPr>
          <w:cantSplit/>
        </w:trPr>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13</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Stage 5: Receiving Dock QC</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Req 4 (Walk)</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12:30 - 13:30</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DEMO: /qc?modal=1 (Marcus Vance, 3-point QC gate)</w:t>
            </w:r>
          </w:p>
        </w:tc>
      </w:tr>
      <w:tr>
        <w:trPr>
          <w:cantSplit/>
        </w:trPr>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14</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Stage 6: Digital Glass e-POD</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Req 4 (Walk)</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13:30 - 14:30</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DEMO: /driver/active (Offline vector signature, GPS)</w:t>
            </w:r>
          </w:p>
        </w:tc>
      </w:tr>
      <w:tr>
        <w:trPr>
          <w:cantSplit/>
        </w:trPr>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15</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Stage 7: Automated Invoicing</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Req 4 (Walk)</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14:30 - 15:30</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DEMO: /admin/invoices (Instant ATO 10% GST invoice)</w:t>
            </w:r>
          </w:p>
        </w:tc>
      </w:tr>
      <w:tr>
        <w:trPr>
          <w:cantSplit/>
        </w:trPr>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16</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Stage 8: Executive Analytics</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Req 4 (Walk)</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15:30 - 16:15</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DEMO: /admin/analytics (Chart.js 96.4% on-time SLA)</w:t>
            </w:r>
          </w:p>
        </w:tc>
      </w:tr>
      <w:tr>
        <w:trPr>
          <w:cantSplit/>
        </w:trPr>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17</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Threat Analysis &amp; Governance</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Req 6</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16:15 - 17:15</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RBAC, APP 1988 privacy, HVNL CoR, ATO compliance</w:t>
            </w:r>
          </w:p>
        </w:tc>
      </w:tr>
      <w:tr>
        <w:trPr>
          <w:cantSplit/>
        </w:trPr>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18</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Contingency &amp; Continuity</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Req 6</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17:15 - 18:15</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Outback blackouts, wet-season floods, cloud disaster</w:t>
            </w:r>
          </w:p>
        </w:tc>
      </w:tr>
      <w:tr>
        <w:trPr>
          <w:cantSplit/>
        </w:trPr>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19</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Roadmap &amp; Future Horizons</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Req 5</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18:15 - 19:00</w:t>
            </w:r>
          </w:p>
        </w:tc>
        <w:tc>
          <w:tcPr>
            <w:tcW w:type="dxa" w:w="1958"/>
            <w:vAlign w:val="center"/>
            <w:tcMar>
              <w:top w:w="50" w:type="dxa"/>
              <w:bottom w:w="50" w:type="dxa"/>
              <w:left w:w="90" w:type="dxa"/>
              <w:right w:w="9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Horizon 1 completed, H2 Weather/IoT, H3 Intermodal</w:t>
            </w:r>
          </w:p>
        </w:tc>
      </w:tr>
      <w:tr>
        <w:trPr>
          <w:cantSplit/>
        </w:trPr>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20</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Conclusion &amp; Defense Sign-Off</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Summary</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19:00 - 20:00</w:t>
            </w:r>
          </w:p>
        </w:tc>
        <w:tc>
          <w:tcPr>
            <w:tcW w:type="dxa" w:w="1958"/>
            <w:vAlign w:val="center"/>
            <w:tcMar>
              <w:top w:w="50" w:type="dxa"/>
              <w:bottom w:w="50" w:type="dxa"/>
              <w:left w:w="90" w:type="dxa"/>
              <w:right w:w="9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$205k net savings, 2.4-yr payback, Q&amp;A invitation</w:t>
            </w:r>
          </w:p>
        </w:tc>
      </w:tr>
    </w:tbl>
    <w:p>
      <w:r>
        <w:br w:type="page"/>
      </w:r>
    </w:p>
    <w:p>
      <w:pPr>
        <w:keepNext/>
        <w:spacing w:before="160" w:after="80"/>
      </w:pPr>
      <w:r>
        <w:rPr>
          <w:b/>
          <w:color w:val="1A476F"/>
          <w:sz w:val="28"/>
        </w:rPr>
        <w:t>SECTION 2: SLIDE-BY-SLIDE SPOKEN PRESENTATION SCRIPTS</w:t>
      </w:r>
    </w:p>
    <w:p>
      <w:pPr>
        <w:keepNext/>
        <w:spacing w:before="280" w:after="40"/>
      </w:pPr>
      <w:r>
        <w:rPr>
          <w:b/>
          <w:color w:val="1A476F"/>
          <w:sz w:val="24"/>
        </w:rPr>
        <w:t>SLIDE 01: TITLE &amp; DEFENSE CANDIDATE CREDENTIALS</w:t>
      </w:r>
    </w:p>
    <w:p>
      <w:pPr>
        <w:keepNext/>
        <w:spacing w:after="60"/>
      </w:pPr>
      <w:r>
        <w:rPr>
          <w:b/>
          <w:color w:val="0284C7"/>
          <w:sz w:val="17"/>
        </w:rPr>
        <w:t>📋 Scope: PRT631 Capstone Oral Defense · Week 12  |  ⏱ Pacing: 0:00 - 0:45 (45 sec)</w:t>
      </w:r>
    </w:p>
    <w:p>
      <w:pPr>
        <w:keepNext/>
        <w:spacing w:after="100"/>
      </w:pPr>
      <w:r>
        <w:rPr>
          <w:b/>
          <w:color w:val="64748B"/>
          <w:sz w:val="17"/>
        </w:rPr>
        <w:t xml:space="preserve">👁 Slide Visual: </w:t>
      </w:r>
      <w:r>
        <w:rPr>
          <w:color w:val="1E293B"/>
          <w:sz w:val="17"/>
        </w:rPr>
        <w:t>Executive dark title slide with CDU crest, PRT631 Capstone badge, candidate metadata table, client logo, and production system URL.</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Stand upright with confident posture. Make direct eye contact with the primary examiner and pan across the evaluation panel. Speak with a steady, authoritative, yet welcoming tone. Hand gestures should be controlled and deliberate.</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"Good morning, Professor, distinguished examiners, and members of the evaluation panel.</w:t>
            </w:r>
          </w:p>
          <w:p>
            <w:pPr>
              <w:spacing w:before="40" w:after="60" w:line="276" w:lineRule="auto"/>
            </w:pPr>
            <w:r>
              <w:rPr>
                <w:color w:val="1E293B"/>
                <w:sz w:val="18"/>
              </w:rPr>
              <w:t>My name is Mahir Sadman Rushad, Student ID S395312, representing Charles Darwin University here at our Casuarina campus for the final capstone defense of Master of Information Technology unit PRT631.</w:t>
            </w:r>
          </w:p>
          <w:p>
            <w:pPr>
              <w:spacing w:before="40" w:after="60" w:line="276" w:lineRule="auto"/>
            </w:pPr>
            <w:r>
              <w:rPr>
                <w:color w:val="1E293B"/>
                <w:sz w:val="18"/>
              </w:rPr>
              <w:t>Today, I am proud to present TrackPoint—an enterprise fleet dispatch, Stuart Highway GPS telematics, and automated chain-of-custody platform engineered for NorthLine Freight &amp; Logistics in Darwin.</w:t>
            </w:r>
          </w:p>
          <w:p>
            <w:pPr>
              <w:spacing w:before="40" w:after="60" w:line="276" w:lineRule="auto"/>
            </w:pPr>
            <w:r>
              <w:rPr>
                <w:color w:val="1E293B"/>
                <w:sz w:val="18"/>
              </w:rPr>
              <w:t>Over the next 18 minutes, I will demonstrate how TrackPoint bridges academic enterprise architecture with the extreme physical realities of outback Australian transport—replacing fragile paper dockets and magnetic whiteboards with an offline-first, mathematically auditable digital ecosystem. We will examine our TOGAF enterprise blueprint, technical stack selection, outback offline synchronization engine, followed by a live walkthrough of all eight operational stages on our live production system on Vercel."</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Satisfies formal candidate identification, CDU institutional alignment, project client definition, and establishes the 20-slide defense agenda.</w:t>
            </w:r>
          </w:p>
        </w:tc>
      </w:tr>
    </w:tbl>
    <w:p>
      <w:pPr>
        <w:spacing w:before="0" w:after="40"/>
      </w:pPr>
    </w:p>
    <w:p>
      <w:pPr>
        <w:keepNext/>
        <w:spacing w:before="280" w:after="40"/>
      </w:pPr>
      <w:r>
        <w:rPr>
          <w:b/>
          <w:color w:val="1A476F"/>
          <w:sz w:val="24"/>
        </w:rPr>
        <w:t>SLIDE 02: BUSINESS SETTING &amp; REGIONAL ENVIRONMENT</w:t>
      </w:r>
    </w:p>
    <w:p>
      <w:pPr>
        <w:keepNext/>
        <w:spacing w:after="60"/>
      </w:pPr>
      <w:r>
        <w:rPr>
          <w:b/>
          <w:color w:val="0284C7"/>
          <w:sz w:val="17"/>
        </w:rPr>
        <w:t>📋 Scope: PRT631 Requirement 1 · Environmental Assessment  |  ⏱ Pacing: 0:45 - 2:00 (75 sec)</w:t>
      </w:r>
    </w:p>
    <w:p>
      <w:pPr>
        <w:keepNext/>
        <w:spacing w:after="100"/>
      </w:pPr>
      <w:r>
        <w:rPr>
          <w:b/>
          <w:color w:val="64748B"/>
          <w:sz w:val="17"/>
        </w:rPr>
        <w:t xml:space="preserve">👁 Slide Visual: </w:t>
      </w:r>
      <w:r>
        <w:rPr>
          <w:color w:val="1E293B"/>
          <w:sz w:val="17"/>
        </w:rPr>
        <w:t>3 Problem cards (1,500km Stuart Highway Corridor, 45°C Extreme Heat &amp; Floods, 800+ km Cellular Dead-Zones) paired with the high-resolution Australia freight corridor map.</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Adopt a serious, analytical tone. Turn slightly toward the slide to gesture at the Stuart Highway corridor map running from Darwin through Katherine and Tennant Creek to Alice Springs.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"To evaluate TrackPoint's engineering, we must first assess the regional business setting required by PRT631 Requirement 1.</w:t>
            </w:r>
          </w:p>
          <w:p>
            <w:pPr>
              <w:spacing w:before="40" w:after="60" w:line="276" w:lineRule="auto"/>
            </w:pPr>
            <w:r>
              <w:rPr>
                <w:color w:val="1E293B"/>
                <w:sz w:val="18"/>
              </w:rPr>
              <w:t>NorthLine Freight &amp; Logistics operates multi-combination road trains up to 85 tonnes along the 1,500-kilometer Stuart Highway—the sole heavy transport artery connecting Northern Territory mineral basins and pastoral stations with southern terminals in Adelaide and Sydney.</w:t>
            </w:r>
          </w:p>
          <w:p>
            <w:pPr>
              <w:spacing w:before="40" w:after="60" w:line="276" w:lineRule="auto"/>
            </w:pPr>
            <w:r>
              <w:rPr>
                <w:color w:val="1E293B"/>
                <w:sz w:val="18"/>
              </w:rPr>
              <w:t>In this environment, two physical extremes break conventional off-the-shelf software:</w:t>
            </w:r>
          </w:p>
          <w:p>
            <w:pPr>
              <w:spacing w:before="40" w:after="60" w:line="276" w:lineRule="auto"/>
            </w:pPr>
            <w:r>
              <w:rPr>
                <w:color w:val="1E293B"/>
                <w:sz w:val="18"/>
              </w:rPr>
              <w:t>First, the climate: Top End monsoonal wet seasons cause sudden highway washouts, while desert summer heat exceeds 45°C. When a triple road train breaks down hauling heavy parts to remote mines, every hour of mine downtime costs upwards of $50,000.</w:t>
            </w:r>
          </w:p>
          <w:p>
            <w:pPr>
              <w:spacing w:before="40" w:after="60" w:line="276" w:lineRule="auto"/>
            </w:pPr>
            <w:r>
              <w:rPr>
                <w:color w:val="1E293B"/>
                <w:sz w:val="18"/>
              </w:rPr>
              <w:t>Second, and most critical: over 800 kilometers of the Stuart Highway completely lack cellular mobile coverage. Standard cloud-native applications fail within 40 kilometers of Darwin because they assume continuous 5G connectivity. TrackPoint was architected from the ground up specifically to survive these outback conditions."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Directly fulfills PRT631 Requirement 1 by assessing the Northern Territory commercial transport environment, physical geography, and environmental vulnerabilities.</w:t>
            </w:r>
          </w:p>
        </w:tc>
      </w:tr>
    </w:tbl>
    <w:p>
      <w:pPr>
        <w:spacing w:before="0" w:after="40"/>
      </w:pPr>
    </w:p>
    <w:p>
      <w:pPr>
        <w:keepNext/>
        <w:spacing w:before="280" w:after="40"/>
      </w:pPr>
      <w:r>
        <w:rPr>
          <w:b/>
          <w:color w:val="1A476F"/>
          <w:sz w:val="24"/>
        </w:rPr>
        <w:t>SLIDE 03: THE PROBLEM STATEMENT — OPERATIONAL BOTTLENECKS</w:t>
      </w:r>
    </w:p>
    <w:p>
      <w:pPr>
        <w:keepNext/>
        <w:spacing w:after="60"/>
      </w:pPr>
      <w:r>
        <w:rPr>
          <w:b/>
          <w:color w:val="0284C7"/>
          <w:sz w:val="17"/>
        </w:rPr>
        <w:t>📋 Scope: PRT631 Requirement 2 · Business Needs Identification  |  ⏱ Pacing: 2:00 - 3:15 (75 sec)</w:t>
      </w:r>
    </w:p>
    <w:p>
      <w:pPr>
        <w:keepNext/>
        <w:spacing w:after="100"/>
      </w:pPr>
      <w:r>
        <w:rPr>
          <w:b/>
          <w:color w:val="64748B"/>
          <w:sz w:val="17"/>
        </w:rPr>
        <w:t xml:space="preserve">👁 Slide Visual: </w:t>
      </w:r>
      <w:r>
        <w:rPr>
          <w:color w:val="1E293B"/>
          <w:sz w:val="17"/>
        </w:rPr>
        <w:t>3 Stat cards (15+ HRS Tracking Blind Spot, 45 MIN Dispatch Lag, $400K+ Trapped Capital Delay) with grounded HVNL and cash flow impact boxes.</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Speak with conviction. Emphasize the quantifiable business losses and legal liabilities resulting from legacy paper and whiteboard methods.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"These regional constraints resulted in three critical operational bottlenecks for NorthLine, addressing PRT631 Requirement 2:</w:t>
            </w:r>
          </w:p>
          <w:p>
            <w:pPr>
              <w:spacing w:before="40" w:after="60" w:line="276" w:lineRule="auto"/>
            </w:pPr>
            <w:r>
              <w:rPr>
                <w:color w:val="1E293B"/>
                <w:sz w:val="18"/>
              </w:rPr>
              <w:t>First, Corridor Invisibility: Once a road train leaves Darwin terminal fringes, dispatchers endure a 15-hour tracking blind spot. Dispatchers cannot update anxious mining customers, cannot verify roadside stops, and cannot forecast depot bay arrivals.</w:t>
            </w:r>
          </w:p>
          <w:p>
            <w:pPr>
              <w:spacing w:before="40" w:after="60" w:line="276" w:lineRule="auto"/>
            </w:pPr>
            <w:r>
              <w:rPr>
                <w:color w:val="1E293B"/>
                <w:sz w:val="18"/>
              </w:rPr>
              <w:t>Second, the Dispatch Bottleneck: Yard dispatchers spend up to 45 minutes juggling magnetic whiteboards, spreadsheets, and radio check-ins to allocate a single load. In a busy depot, this manual delay creates loading dock congestion and increases the risk of exceeding Gross Combination Mass (GCM) weight limits—exposing NorthLine to fines up to $300,000 under Heavy Vehicle National Law Chain of Responsibility rules.</w:t>
            </w:r>
          </w:p>
          <w:p>
            <w:pPr>
              <w:spacing w:before="40" w:after="60" w:line="276" w:lineRule="auto"/>
            </w:pPr>
            <w:r>
              <w:rPr>
                <w:color w:val="1E293B"/>
                <w:sz w:val="18"/>
              </w:rPr>
              <w:t>Third, Trapped Cash Flow: For decades, proof-of-delivery has relied on carbon-copy paper dockets kept in truck cabs. Dockets take up to 14 days to physically travel 1,500 kilometers back to Darwin accounting offices. Over $400,000 in unbilled freight revenue is routinely trapped in transit, while oil-stained or lost dockets trigger bitter billing disputes. TrackPoint was engineered to eliminate all three bottlenecks."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Fulfills PRT631 Requirement 2 by identifying quantifiable business needs, regulatory exposures under HVNL, and working capital constraints.</w:t>
            </w:r>
          </w:p>
        </w:tc>
      </w:tr>
    </w:tbl>
    <w:p>
      <w:pPr>
        <w:spacing w:before="0" w:after="40"/>
      </w:pPr>
    </w:p>
    <w:p>
      <w:pPr>
        <w:keepNext/>
        <w:spacing w:before="280" w:after="40"/>
      </w:pPr>
      <w:r>
        <w:rPr>
          <w:b/>
          <w:color w:val="1A476F"/>
          <w:sz w:val="24"/>
        </w:rPr>
        <w:t>SLIDE 04: PROPOSED SOLUTION — UNIFIED TRACKPOINT ECOSYSTEM</w:t>
      </w:r>
    </w:p>
    <w:p>
      <w:pPr>
        <w:keepNext/>
        <w:spacing w:after="60"/>
      </w:pPr>
      <w:r>
        <w:rPr>
          <w:b/>
          <w:color w:val="0284C7"/>
          <w:sz w:val="17"/>
        </w:rPr>
        <w:t>📋 Scope: PRT631 Requirement 2 · Platform Architecture  |  ⏱ Pacing: 3:15 - 4:30 (75 sec)</w:t>
      </w:r>
    </w:p>
    <w:p>
      <w:pPr>
        <w:keepNext/>
        <w:spacing w:after="100"/>
      </w:pPr>
      <w:r>
        <w:rPr>
          <w:b/>
          <w:color w:val="64748B"/>
          <w:sz w:val="17"/>
        </w:rPr>
        <w:t xml:space="preserve">👁 Slide Visual: </w:t>
      </w:r>
      <w:r>
        <w:rPr>
          <w:color w:val="1E293B"/>
          <w:sz w:val="17"/>
        </w:rPr>
        <w:t>4 Quadrant Grid (B2B Customers, Operations Dispatchers, Linehaul Drivers, Finance &amp; Quality Auditors) with the central integration engine banner.</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Transition to an optimistic, problem-solving posture. Use open hand gestures to encompass the four quadrants, illustrating how disparate roles unite into one digital workflow.</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"To solve these fragmented operations, TrackPoint deploys a unified, multi-tenant digital ecosystem connecting all four key stakeholder groups into a single operational thread:</w:t>
            </w:r>
          </w:p>
          <w:p>
            <w:pPr>
              <w:spacing w:before="40" w:after="60" w:line="276" w:lineRule="auto"/>
            </w:pPr>
            <w:r>
              <w:rPr>
                <w:color w:val="1E293B"/>
                <w:sz w:val="18"/>
              </w:rPr>
              <w:t>For B2B Enterprise Customers, a self-service booking portal provides instant distance-based freight quoting across six transport tiers and live corridor tracking.</w:t>
            </w:r>
          </w:p>
          <w:p>
            <w:pPr>
              <w:spacing w:before="40" w:after="60" w:line="276" w:lineRule="auto"/>
            </w:pPr>
            <w:r>
              <w:rPr>
                <w:color w:val="1E293B"/>
                <w:sz w:val="18"/>
              </w:rPr>
              <w:t>For Operations Dispatchers, a central command board features our sub-5-second auto-match engine and automated Gross Combination Mass overload validation.</w:t>
            </w:r>
          </w:p>
          <w:p>
            <w:pPr>
              <w:spacing w:before="40" w:after="60" w:line="276" w:lineRule="auto"/>
            </w:pPr>
            <w:r>
              <w:rPr>
                <w:color w:val="1E293B"/>
                <w:sz w:val="18"/>
              </w:rPr>
              <w:t>For Linehaul Truck Drivers, an ergonomic, glare-resistant in-cab console provides sequential manifest drops, NHVR fatigue rest-break timers, and offline signature capture.</w:t>
            </w:r>
          </w:p>
          <w:p>
            <w:pPr>
              <w:spacing w:before="40" w:after="60" w:line="276" w:lineRule="auto"/>
            </w:pPr>
            <w:r>
              <w:rPr>
                <w:color w:val="1E293B"/>
                <w:sz w:val="18"/>
              </w:rPr>
              <w:t>And for Finance and Quality Auditors, a strict dock quality control gate verifies seals and temperature, triggering zero-second ATO tax invoicing.</w:t>
            </w:r>
          </w:p>
          <w:p>
            <w:pPr>
              <w:spacing w:before="40" w:after="60" w:line="276" w:lineRule="auto"/>
            </w:pPr>
            <w:r>
              <w:rPr>
                <w:color w:val="1E293B"/>
                <w:sz w:val="18"/>
              </w:rPr>
              <w:t>The core integration engine links all four portals into a single source of operational truth, sharing data seamlessly between edge devices and the cloud."</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Fulfills PRT631 Requirement 2 by presenting a comprehensive platform architecture covering all stakeholder roles and enterprise functional requirements.</w:t>
            </w:r>
          </w:p>
        </w:tc>
      </w:tr>
    </w:tbl>
    <w:p>
      <w:pPr>
        <w:spacing w:before="0" w:after="40"/>
      </w:pPr>
    </w:p>
    <w:p>
      <w:pPr>
        <w:keepNext/>
        <w:spacing w:before="280" w:after="40"/>
      </w:pPr>
      <w:r>
        <w:rPr>
          <w:b/>
          <w:color w:val="1A476F"/>
          <w:sz w:val="24"/>
        </w:rPr>
        <w:t>SLIDE 05: ENTERPRISE ARCHITECTURE — TOGAF MULTI-TIER MODEL</w:t>
      </w:r>
    </w:p>
    <w:p>
      <w:pPr>
        <w:keepNext/>
        <w:spacing w:after="60"/>
      </w:pPr>
      <w:r>
        <w:rPr>
          <w:b/>
          <w:color w:val="0284C7"/>
          <w:sz w:val="17"/>
        </w:rPr>
        <w:t>📋 Scope: PRT631 Requirement 3 · Enterprise Architecture  |  ⏱ Pacing: 4:30 - 5:45 (75 sec)</w:t>
      </w:r>
    </w:p>
    <w:p>
      <w:pPr>
        <w:keepNext/>
        <w:spacing w:after="100"/>
      </w:pPr>
      <w:r>
        <w:rPr>
          <w:b/>
          <w:color w:val="64748B"/>
          <w:sz w:val="17"/>
        </w:rPr>
        <w:t xml:space="preserve">👁 Slide Visual: </w:t>
      </w:r>
      <w:r>
        <w:rPr>
          <w:color w:val="1E293B"/>
          <w:sz w:val="17"/>
        </w:rPr>
        <w:t>4 Horizontal TOGAF Tiers (Business, Application, Data, Technology) with logical execution pipelines and SLA standards.</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Adopt an architectural, structured delivery. Point to each tier progressively from Business down to Technology, demonstrating academic mastery of formal frameworks.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"Under PRT631 Requirement 3, enterprise systems require rigorous formal modeling. We structured TrackPoint using the Open Group Architecture Framework (TOGAF) 4-Layer model:</w:t>
            </w:r>
          </w:p>
          <w:p>
            <w:pPr>
              <w:spacing w:before="40" w:after="60" w:line="276" w:lineRule="auto"/>
            </w:pPr>
            <w:r>
              <w:rPr>
                <w:color w:val="1E293B"/>
                <w:sz w:val="18"/>
              </w:rPr>
              <w:t>At the Business Architecture Layer, we govern core freight processes: customer contracting, automated order matching, statutory Chain of Responsibility auditing, and order-to-cash settlement.</w:t>
            </w:r>
          </w:p>
          <w:p>
            <w:pPr>
              <w:spacing w:before="40" w:after="60" w:line="276" w:lineRule="auto"/>
            </w:pPr>
            <w:r>
              <w:rPr>
                <w:color w:val="1E293B"/>
                <w:sz w:val="18"/>
              </w:rPr>
              <w:t>At the Application Architecture Layer, we implement modular TypeScript micro-engines: dynamic tariff calculation, nearest-vehicle heuristic matching, receiving dock QC verification, and automated tax generation, protected by strict Role-Based Access Control.</w:t>
            </w:r>
          </w:p>
          <w:p>
            <w:pPr>
              <w:spacing w:before="40" w:after="60" w:line="276" w:lineRule="auto"/>
            </w:pPr>
            <w:r>
              <w:rPr>
                <w:color w:val="1E293B"/>
                <w:sz w:val="18"/>
              </w:rPr>
              <w:t>At the Data Architecture Layer, we maintain dual persistence: MongoDB Atlas for high-frequency GPS telemetry and nested freight manifests, paired with Prisma ORM for relational integrity in user authentication and financial ledgers, backed by an encrypted edge buffer.</w:t>
            </w:r>
          </w:p>
          <w:p>
            <w:pPr>
              <w:spacing w:before="40" w:after="60" w:line="276" w:lineRule="auto"/>
            </w:pPr>
            <w:r>
              <w:rPr>
                <w:color w:val="1E293B"/>
                <w:sz w:val="18"/>
              </w:rPr>
              <w:t>And at the Technology Layer, we deploy on Vercel's serverless edge network across Australia, using lightweight 15-second stateless REST polling over Telstra 4G and OBD-II telematics, achieving sub-50ms latency and an RPO under 15 minutes."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Fulfills PRT631 Requirement 3 by demonstrating thorough TOGAF enterprise modeling across Business, Application, Data, and Technology perspectives.</w:t>
            </w:r>
          </w:p>
        </w:tc>
      </w:tr>
    </w:tbl>
    <w:p>
      <w:pPr>
        <w:spacing w:before="0" w:after="40"/>
      </w:pPr>
    </w:p>
    <w:p>
      <w:pPr>
        <w:keepNext/>
        <w:spacing w:before="280" w:after="40"/>
      </w:pPr>
      <w:r>
        <w:rPr>
          <w:b/>
          <w:color w:val="1A476F"/>
          <w:sz w:val="24"/>
        </w:rPr>
        <w:t>SLIDE 06: TECHNICAL ARCHITECTURE &amp; STACK SELECTION RATIONALE</w:t>
      </w:r>
    </w:p>
    <w:p>
      <w:pPr>
        <w:keepNext/>
        <w:spacing w:after="60"/>
      </w:pPr>
      <w:r>
        <w:rPr>
          <w:b/>
          <w:color w:val="0284C7"/>
          <w:sz w:val="17"/>
        </w:rPr>
        <w:t>📋 Scope: PRT631 Requirement 4 · Technical Architecture  |  ⏱ Pacing: 5:45 - 7:00 (75 sec)</w:t>
      </w:r>
    </w:p>
    <w:p>
      <w:pPr>
        <w:keepNext/>
        <w:spacing w:after="100"/>
      </w:pPr>
      <w:r>
        <w:rPr>
          <w:b/>
          <w:color w:val="64748B"/>
          <w:sz w:val="17"/>
        </w:rPr>
        <w:t xml:space="preserve">👁 Slide Visual: </w:t>
      </w:r>
      <w:r>
        <w:rPr>
          <w:color w:val="1E293B"/>
          <w:sz w:val="17"/>
        </w:rPr>
        <w:t>4 Technical Architecture Pillars (Next.js 15 App Router, Prisma ORM + Node.js, MongoDB Atlas + Edge Queue, Leaflet.js GIS + Vercel Edge).</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Speak as a lead software engineer. Emphasize deliberate engineering trade-offs, performance benchmarks, and why specific libraries were selected over common alternatives.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"Turning to PRT631 Requirement 4, every component in our technical stack was selected based on rigorous engineering rationale rather than convenience:</w:t>
            </w:r>
          </w:p>
          <w:p>
            <w:pPr>
              <w:spacing w:before="40" w:after="60" w:line="276" w:lineRule="auto"/>
            </w:pPr>
            <w:r>
              <w:rPr>
                <w:color w:val="1E293B"/>
                <w:sz w:val="18"/>
              </w:rPr>
              <w:t>For Frontend, we chose Next.js 15 with React 19 and Tailwind CSS. Server-side rendering ensures initial page load under 0.8 seconds even on low-bandwidth field tablets, while high-contrast dark theming prevents eye fatigue under blinding outback sun glare.</w:t>
            </w:r>
          </w:p>
          <w:p>
            <w:pPr>
              <w:spacing w:before="40" w:after="60" w:line="276" w:lineRule="auto"/>
            </w:pPr>
            <w:r>
              <w:rPr>
                <w:color w:val="1E293B"/>
                <w:sz w:val="18"/>
              </w:rPr>
              <w:t>For Backend Services, we deployed Prisma ORM on Node.js 20 with 100% strict TypeScript types. This eliminates runtime type serialization drift between database records and UI components, while Zod schemas validate every API mutation.</w:t>
            </w:r>
          </w:p>
          <w:p>
            <w:pPr>
              <w:spacing w:before="40" w:after="60" w:line="276" w:lineRule="auto"/>
            </w:pPr>
            <w:r>
              <w:rPr>
                <w:color w:val="1E293B"/>
                <w:sz w:val="18"/>
              </w:rPr>
              <w:t>For Persistence, MongoDB Atlas provides native 2dsphere spatial indexing for lightning-fast proximity queries, while browser LocalStorage buffers transactions during cellular outages.</w:t>
            </w:r>
          </w:p>
          <w:p>
            <w:pPr>
              <w:spacing w:before="40" w:after="60" w:line="276" w:lineRule="auto"/>
            </w:pPr>
            <w:r>
              <w:rPr>
                <w:color w:val="1E293B"/>
                <w:sz w:val="18"/>
              </w:rPr>
              <w:t>And for GIS, we chose Leaflet.js with OpenStreetMap vector tiles over Google Maps API. Leaflet is 80% lighter, avoids prohibitive commercial map licensing fees, and functions smoothly over intermittent 3G connections with stateless 15-second REST pings."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Fulfills PRT631 Requirement 4 by defending technical stack decisions with empirical performance benchmarks and system architecture diagrams.</w:t>
            </w:r>
          </w:p>
        </w:tc>
      </w:tr>
    </w:tbl>
    <w:p>
      <w:pPr>
        <w:spacing w:before="0" w:after="40"/>
      </w:pPr>
    </w:p>
    <w:p>
      <w:pPr>
        <w:keepNext/>
        <w:spacing w:before="280" w:after="40"/>
      </w:pPr>
      <w:r>
        <w:rPr>
          <w:b/>
          <w:color w:val="1A476F"/>
          <w:sz w:val="24"/>
        </w:rPr>
        <w:t>SLIDE 07: CORE INNOVATION — OUTBACK OFFLINE-FIRST ENGINE</w:t>
      </w:r>
    </w:p>
    <w:p>
      <w:pPr>
        <w:keepNext/>
        <w:spacing w:after="60"/>
      </w:pPr>
      <w:r>
        <w:rPr>
          <w:b/>
          <w:color w:val="0284C7"/>
          <w:sz w:val="17"/>
        </w:rPr>
        <w:t>📋 Scope: PRT631 Requirement 5 · Critical Strategies for System Success  |  ⏱ Pacing: 7:00 - 8:15 (75 sec)</w:t>
      </w:r>
    </w:p>
    <w:p>
      <w:pPr>
        <w:keepNext/>
        <w:spacing w:after="100"/>
      </w:pPr>
      <w:r>
        <w:rPr>
          <w:b/>
          <w:color w:val="64748B"/>
          <w:sz w:val="17"/>
        </w:rPr>
        <w:t xml:space="preserve">👁 Slide Visual: </w:t>
      </w:r>
      <w:r>
        <w:rPr>
          <w:color w:val="1E293B"/>
          <w:sz w:val="17"/>
        </w:rPr>
        <w:t>4-Stage Resiliency Pipeline (Edge Capture, Encrypted Buffer, Tower Handshake, Idempotent Commit) with code snippets and durability metrics.</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Lean forward slightly. Highlight this as one of your primary technical innovations. Trace the 4 steps across the slide with deliberate focus.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"Slide 7 represents TrackPoint's cornerstone innovation under PRT631 Requirement 5: our Outback Offline-First Resiliency Engine.</w:t>
            </w:r>
          </w:p>
          <w:p>
            <w:pPr>
              <w:spacing w:before="40" w:after="60" w:line="276" w:lineRule="auto"/>
            </w:pPr>
            <w:r>
              <w:rPr>
                <w:color w:val="1E293B"/>
                <w:sz w:val="18"/>
              </w:rPr>
              <w:t>Standard logistics apps crash or freeze when cellular connection is lost. TrackPoint implements a deterministic 4-stage edge state machine:</w:t>
            </w:r>
          </w:p>
          <w:p>
            <w:pPr>
              <w:spacing w:before="40" w:after="60" w:line="276" w:lineRule="auto"/>
            </w:pPr>
            <w:r>
              <w:rPr>
                <w:color w:val="1E293B"/>
                <w:sz w:val="18"/>
              </w:rPr>
              <w:t>Stage 1: When a driver arrives at a remote cattle station with zero bars of signal, the device captures the digital vector signature, receiver name, GPS geostamp, and UTC timestamp locally in under 50 milliseconds.</w:t>
            </w:r>
          </w:p>
          <w:p>
            <w:pPr>
              <w:spacing w:before="40" w:after="60" w:line="276" w:lineRule="auto"/>
            </w:pPr>
            <w:r>
              <w:rPr>
                <w:color w:val="1E293B"/>
                <w:sz w:val="18"/>
              </w:rPr>
              <w:t>Stage 2: The payload is serialized into browser LocalStorage, and a high-visibility amber badge assures the driver that data is safely buffered for up to 72 hours.</w:t>
            </w:r>
          </w:p>
          <w:p>
            <w:pPr>
              <w:spacing w:before="40" w:after="60" w:line="276" w:lineRule="auto"/>
            </w:pPr>
            <w:r>
              <w:rPr>
                <w:color w:val="1E293B"/>
                <w:sz w:val="18"/>
              </w:rPr>
              <w:t>Stage 3: As the road train continues down the Stuart Highway and enters a cell tower fringe, an automated background event listener detects the connection and triggers an asynchronous reconciliation handshake.</w:t>
            </w:r>
          </w:p>
          <w:p>
            <w:pPr>
              <w:spacing w:before="40" w:after="60" w:line="276" w:lineRule="auto"/>
            </w:pPr>
            <w:r>
              <w:rPr>
                <w:color w:val="1E293B"/>
                <w:sz w:val="18"/>
              </w:rPr>
              <w:t>Stage 4: On the cloud server, MongoDB Atlas verifies the transaction's unique cryptographic UUID. This guarantees atomic, idempotent writes—completely preventing duplicate invoice generation even if network packets are retransmitted multiple times. This guarantees 100% zero docket loss."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Fulfills PRT631 Requirement 5 by detailing an offline-first data synchronization strategy engineered for harsh infrastructure constraints.</w:t>
            </w:r>
          </w:p>
        </w:tc>
      </w:tr>
    </w:tbl>
    <w:p>
      <w:pPr>
        <w:spacing w:before="0" w:after="40"/>
      </w:pPr>
    </w:p>
    <w:p>
      <w:pPr>
        <w:keepNext/>
        <w:spacing w:before="280" w:after="40"/>
      </w:pPr>
      <w:r>
        <w:rPr>
          <w:b/>
          <w:color w:val="1A476F"/>
          <w:sz w:val="24"/>
        </w:rPr>
        <w:t>SLIDE 08: END-TO-END SYSTEM WALKTHROUGH ARCHITECTURE</w:t>
      </w:r>
    </w:p>
    <w:p>
      <w:pPr>
        <w:keepNext/>
        <w:spacing w:after="60"/>
      </w:pPr>
      <w:r>
        <w:rPr>
          <w:b/>
          <w:color w:val="0284C7"/>
          <w:sz w:val="17"/>
        </w:rPr>
        <w:t>📋 Scope: Live Operational Demonstration Plan · 8 Closed-Loop Stages  |  ⏱ Pacing: 8:15 - 9:00 (45 sec)</w:t>
      </w:r>
    </w:p>
    <w:p>
      <w:pPr>
        <w:keepNext/>
        <w:spacing w:after="100"/>
      </w:pPr>
      <w:r>
        <w:rPr>
          <w:b/>
          <w:color w:val="64748B"/>
          <w:sz w:val="17"/>
        </w:rPr>
        <w:t xml:space="preserve">👁 Slide Visual: </w:t>
      </w:r>
      <w:r>
        <w:rPr>
          <w:color w:val="1E293B"/>
          <w:sz w:val="17"/>
        </w:rPr>
        <w:t>5 sequential stage cards (B2B Booking, Auto-Match, Telematics, Dock QC Gate, e-POD &amp; Tax) with mutation endpoints and demonstration structure banner.</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Maintain professional control. Set up the upcoming live software demonstration by explaining the continuous digital thread.</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"We now transition to the live system walkthrough, covering Slides 9 through 16. Rather than showing disconnected mockups, we demonstrate a complete, closed-loop freight lifecycle deployed live in production.</w:t>
            </w:r>
          </w:p>
          <w:p>
            <w:pPr>
              <w:spacing w:before="40" w:after="60" w:line="276" w:lineRule="auto"/>
            </w:pPr>
            <w:r>
              <w:rPr>
                <w:color w:val="1E293B"/>
                <w:sz w:val="18"/>
              </w:rPr>
              <w:t>Our demonstration follows eight distinct operational stages:</w:t>
            </w:r>
          </w:p>
          <w:p>
            <w:pPr>
              <w:spacing w:before="40" w:after="60" w:line="276" w:lineRule="auto"/>
            </w:pPr>
            <w:r>
              <w:rPr>
                <w:color w:val="1E293B"/>
                <w:sz w:val="18"/>
              </w:rPr>
              <w:t>Stage 1: Sandra Wilson books mining freight via the Customer Portal.</w:t>
            </w:r>
          </w:p>
          <w:p>
            <w:pPr>
              <w:spacing w:before="40" w:after="60" w:line="276" w:lineRule="auto"/>
            </w:pPr>
            <w:r>
              <w:rPr>
                <w:color w:val="1E293B"/>
                <w:sz w:val="18"/>
              </w:rPr>
              <w:t>Stage 2: Priya Sharma auto-matches the load in Operations Dispatch.</w:t>
            </w:r>
          </w:p>
          <w:p>
            <w:pPr>
              <w:spacing w:before="40" w:after="60" w:line="276" w:lineRule="auto"/>
            </w:pPr>
            <w:r>
              <w:rPr>
                <w:color w:val="1E293B"/>
                <w:sz w:val="18"/>
              </w:rPr>
              <w:t>Stage 3: We monitor road train telemetry on the live Stuart Highway map.</w:t>
            </w:r>
          </w:p>
          <w:p>
            <w:pPr>
              <w:spacing w:before="40" w:after="60" w:line="276" w:lineRule="auto"/>
            </w:pPr>
            <w:r>
              <w:rPr>
                <w:color w:val="1E293B"/>
                <w:sz w:val="18"/>
              </w:rPr>
              <w:t>Stage 4: Dave Miller navigates the run on his in-cab handset.</w:t>
            </w:r>
          </w:p>
          <w:p>
            <w:pPr>
              <w:spacing w:before="40" w:after="60" w:line="276" w:lineRule="auto"/>
            </w:pPr>
            <w:r>
              <w:rPr>
                <w:color w:val="1E293B"/>
                <w:sz w:val="18"/>
              </w:rPr>
              <w:t>Stage 5: Marcus Vance inspects cargo seals at Receiving Dock Bay 3.</w:t>
            </w:r>
          </w:p>
          <w:p>
            <w:pPr>
              <w:spacing w:before="40" w:after="60" w:line="276" w:lineRule="auto"/>
            </w:pPr>
            <w:r>
              <w:rPr>
                <w:color w:val="1E293B"/>
                <w:sz w:val="18"/>
              </w:rPr>
              <w:t>Stage 6: Sandra signs on digital glass, buffered offline.</w:t>
            </w:r>
          </w:p>
          <w:p>
            <w:pPr>
              <w:spacing w:before="40" w:after="60" w:line="276" w:lineRule="auto"/>
            </w:pPr>
            <w:r>
              <w:rPr>
                <w:color w:val="1E293B"/>
                <w:sz w:val="18"/>
              </w:rPr>
              <w:t>Stage 7: Elena Rostova receives an automated ATO tax invoice.</w:t>
            </w:r>
          </w:p>
          <w:p>
            <w:pPr>
              <w:spacing w:before="40" w:after="60" w:line="276" w:lineRule="auto"/>
            </w:pPr>
            <w:r>
              <w:rPr>
                <w:color w:val="1E293B"/>
                <w:sz w:val="18"/>
              </w:rPr>
              <w:t>And Stage 8: Charles Montgomery reviews fleet analytics and SLA trends.</w:t>
            </w:r>
          </w:p>
          <w:p>
            <w:pPr>
              <w:spacing w:before="40" w:after="60" w:line="276" w:lineRule="auto"/>
            </w:pPr>
            <w:r>
              <w:rPr>
                <w:color w:val="1E293B"/>
                <w:sz w:val="18"/>
              </w:rPr>
              <w:t>Every screen you see is an active, fully verified route in our live production environment."</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Sets up the empirical validation of the working software, establishing traceability across all functional requirements.</w:t>
            </w:r>
          </w:p>
        </w:tc>
      </w:tr>
    </w:tbl>
    <w:p>
      <w:pPr>
        <w:spacing w:before="0" w:after="40"/>
      </w:pPr>
    </w:p>
    <w:p>
      <w:pPr>
        <w:keepNext/>
        <w:spacing w:before="280" w:after="40"/>
      </w:pPr>
      <w:r>
        <w:rPr>
          <w:b/>
          <w:color w:val="1A476F"/>
          <w:sz w:val="24"/>
        </w:rPr>
        <w:t>SLIDE 09: STAGE 1 — CUSTOMER SELF-SERVICE BOOKING &amp; FREIGHT TRACKING</w:t>
      </w:r>
    </w:p>
    <w:p>
      <w:pPr>
        <w:keepNext/>
        <w:spacing w:after="60"/>
      </w:pPr>
      <w:r>
        <w:rPr>
          <w:b/>
          <w:color w:val="0284C7"/>
          <w:sz w:val="17"/>
        </w:rPr>
        <w:t>📋 Scope: PRT631 Requirement 4 · Live System Walkthrough  |  ⏱ Pacing: 9:00 - 9:45 (45 sec)</w:t>
      </w:r>
    </w:p>
    <w:p>
      <w:pPr>
        <w:keepNext/>
        <w:spacing w:after="100"/>
      </w:pPr>
      <w:r>
        <w:rPr>
          <w:b/>
          <w:color w:val="64748B"/>
          <w:sz w:val="17"/>
        </w:rPr>
        <w:t xml:space="preserve">👁 Slide Visual: </w:t>
      </w:r>
      <w:r>
        <w:rPr>
          <w:color w:val="1E293B"/>
          <w:sz w:val="17"/>
        </w:rPr>
        <w:t>High-res screenshot of Customer Portal (/customer), dynamic rate matrix, milestone timeline, and verification card.</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Point to the live UI screenshot. Direct attention to the dynamic distance tariff calculator and real-time progress bar.</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"Here in Stage 1, we view the live Customer Portal at `/customer` through the eyes of Sandra Wilson from Katherine Mining Supplies.</w:t>
            </w:r>
          </w:p>
          <w:p>
            <w:pPr>
              <w:spacing w:before="40" w:after="60" w:line="276" w:lineRule="auto"/>
            </w:pPr>
            <w:r>
              <w:rPr>
                <w:color w:val="1E293B"/>
                <w:sz w:val="18"/>
              </w:rPr>
              <w:t>Sandra can select from six specialized linehaul freight tiers, from General Palletized Freight to Hazardous Chemicals and Express Hot-Shot. As soon as she specifies pickup in Darwin and drop-off in Katherine, our dynamic distance engine applies our Haversine tariff matrix to compute pricing instantly—eliminating rate disputes.</w:t>
            </w:r>
          </w:p>
          <w:p>
            <w:pPr>
              <w:spacing w:before="40" w:after="60" w:line="276" w:lineRule="auto"/>
            </w:pPr>
            <w:r>
              <w:rPr>
                <w:color w:val="1E293B"/>
                <w:sz w:val="18"/>
              </w:rPr>
              <w:t>Once booked, Sandra tracks her consignment via interactive milestone cards without having to make a single status inquiry call to the dispatch desk."</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ECFDF5"/>
            <w:tcMar>
              <w:top w:w="80" w:type="dxa"/>
              <w:bottom w:w="80" w:type="dxa"/>
              <w:left w:w="160" w:type="dxa"/>
              <w:right w:w="140" w:type="dxa"/>
            </w:tcMar>
            <w:tcBorders>
              <w:top w:val="single" w:sz="4" w:space="0" w:color="E2E8F0"/>
              <w:bottom w:val="single" w:sz="4" w:space="0" w:color="E2E8F0"/>
              <w:left w:val="single" w:sz="24" w:space="0" w:color="047857"/>
              <w:right w:val="single" w:sz="4" w:space="0" w:color="E2E8F0"/>
            </w:tcBorders>
          </w:tcPr>
          <w:p>
            <w:pPr>
              <w:spacing w:before="0" w:after="60" w:line="276" w:lineRule="auto"/>
            </w:pPr>
            <w:r>
              <w:rPr>
                <w:sz w:val="20"/>
              </w:rPr>
              <w:t xml:space="preserve">💻 </w:t>
            </w:r>
            <w:r>
              <w:rPr>
                <w:b/>
                <w:color w:val="047857"/>
                <w:sz w:val="19"/>
              </w:rPr>
              <w:t>LIVE SYSTEM DEMONSTRATION ACTION (ON BROWSER)</w:t>
            </w:r>
          </w:p>
          <w:p>
            <w:pPr>
              <w:spacing w:before="40" w:after="60" w:line="276" w:lineRule="auto"/>
            </w:pPr>
            <w:r>
              <w:rPr>
                <w:color w:val="1E293B"/>
                <w:sz w:val="18"/>
              </w:rPr>
              <w:t>Open browser tab at trackpoint-platform.vercel.app/customer. Select 'Katherine Mining Supplies', highlight the dynamic quote calculation, and demonstrate live milestone status.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Validates self-service booking, dynamic pricing algorithms, and client transparency.</w:t>
            </w:r>
          </w:p>
        </w:tc>
      </w:tr>
    </w:tbl>
    <w:p>
      <w:pPr>
        <w:spacing w:before="0" w:after="40"/>
      </w:pPr>
    </w:p>
    <w:p>
      <w:pPr>
        <w:keepNext/>
        <w:spacing w:before="280" w:after="40"/>
      </w:pPr>
      <w:r>
        <w:rPr>
          <w:b/>
          <w:color w:val="1A476F"/>
          <w:sz w:val="24"/>
        </w:rPr>
        <w:t>SLIDE 10: STAGE 2 — OPERATIONS DISPATCH &amp; AUTO-MATCH ENGINE</w:t>
      </w:r>
    </w:p>
    <w:p>
      <w:pPr>
        <w:keepNext/>
        <w:spacing w:after="60"/>
      </w:pPr>
      <w:r>
        <w:rPr>
          <w:b/>
          <w:color w:val="0284C7"/>
          <w:sz w:val="17"/>
        </w:rPr>
        <w:t>📋 Scope: PRT631 Requirement 4 · Live System Walkthrough  |  ⏱ Pacing: 9:45 - 10:45 (60 sec)</w:t>
      </w:r>
    </w:p>
    <w:p>
      <w:pPr>
        <w:keepNext/>
        <w:spacing w:after="100"/>
      </w:pPr>
      <w:r>
        <w:rPr>
          <w:b/>
          <w:color w:val="64748B"/>
          <w:sz w:val="17"/>
        </w:rPr>
        <w:t xml:space="preserve">👁 Slide Visual: </w:t>
      </w:r>
      <w:r>
        <w:rPr>
          <w:color w:val="1E293B"/>
          <w:sz w:val="17"/>
        </w:rPr>
        <w:t>Operations Command Center screenshot (/admin/dispatch), auto-match recommendation modal, GCM axle weight meters.</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Speak with authority regarding dispatch optimization and legal compliance. Highlight the safety check preventing axle overloading.</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"In Stage 2, we open the Operations Dispatch Board at `/admin/dispatch`, utilized by lead dispatcher Priya Sharma at NorthLine's Darwin terminal.</w:t>
            </w:r>
          </w:p>
          <w:p>
            <w:pPr>
              <w:spacing w:before="40" w:after="60" w:line="276" w:lineRule="auto"/>
            </w:pPr>
            <w:r>
              <w:rPr>
                <w:color w:val="1E293B"/>
                <w:sz w:val="18"/>
              </w:rPr>
              <w:t>When an unassigned order arrives, Priya triggers our Sub-5-Second Auto-Match Algorithm. The engine evaluates truck proximity, trailer configuration, and remaining driver shift hours. Crucially, it verifies the consignment weight against the vehicle's Gross Combination Mass rating. If a truck has an 85-tonne rating and currently carries 65 tonnes, the system permits the 12-tonne load. If it exceeds GCM, the allocation is blocked.</w:t>
            </w:r>
          </w:p>
          <w:p>
            <w:pPr>
              <w:spacing w:before="40" w:after="60" w:line="276" w:lineRule="auto"/>
            </w:pPr>
            <w:r>
              <w:rPr>
                <w:color w:val="1E293B"/>
                <w:sz w:val="18"/>
              </w:rPr>
              <w:t>Furthermore, if Priya manually reassigns a driver, she must select an auditable reason code—such as Driver Fatigue or Maintenance—ensuring complete legal defensibility under the Heavy Vehicle National Law."</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ECFDF5"/>
            <w:tcMar>
              <w:top w:w="80" w:type="dxa"/>
              <w:bottom w:w="80" w:type="dxa"/>
              <w:left w:w="160" w:type="dxa"/>
              <w:right w:w="140" w:type="dxa"/>
            </w:tcMar>
            <w:tcBorders>
              <w:top w:val="single" w:sz="4" w:space="0" w:color="E2E8F0"/>
              <w:bottom w:val="single" w:sz="4" w:space="0" w:color="E2E8F0"/>
              <w:left w:val="single" w:sz="24" w:space="0" w:color="047857"/>
              <w:right w:val="single" w:sz="4" w:space="0" w:color="E2E8F0"/>
            </w:tcBorders>
          </w:tcPr>
          <w:p>
            <w:pPr>
              <w:spacing w:before="0" w:after="60" w:line="276" w:lineRule="auto"/>
            </w:pPr>
            <w:r>
              <w:rPr>
                <w:sz w:val="20"/>
              </w:rPr>
              <w:t xml:space="preserve">💻 </w:t>
            </w:r>
            <w:r>
              <w:rPr>
                <w:b/>
                <w:color w:val="047857"/>
                <w:sz w:val="19"/>
              </w:rPr>
              <w:t>LIVE SYSTEM DEMONSTRATION ACTION (ON BROWSER)</w:t>
            </w:r>
          </w:p>
          <w:p>
            <w:pPr>
              <w:spacing w:before="40" w:after="60" w:line="276" w:lineRule="auto"/>
            </w:pPr>
            <w:r>
              <w:rPr>
                <w:color w:val="1E293B"/>
                <w:sz w:val="18"/>
              </w:rPr>
              <w:t>Navigate to /admin/dispatch. Click 'Auto-Match' on pending consignment, observe sub-5-second vehicle scoring, and display the GCM weight calculation and compliance override dialog.</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Validates algorithmic dispatch optimization, automated GCM safety validation, and Chain of Responsibility compliance auditing.</w:t>
            </w:r>
          </w:p>
        </w:tc>
      </w:tr>
    </w:tbl>
    <w:p>
      <w:pPr>
        <w:spacing w:before="0" w:after="40"/>
      </w:pPr>
    </w:p>
    <w:p>
      <w:pPr>
        <w:keepNext/>
        <w:spacing w:before="280" w:after="40"/>
      </w:pPr>
      <w:r>
        <w:rPr>
          <w:b/>
          <w:color w:val="1A476F"/>
          <w:sz w:val="24"/>
        </w:rPr>
        <w:t>SLIDE 11: STAGE 3 — STUART HWY CORRIDOR TELEMATICS &amp; LIVE MAP</w:t>
      </w:r>
    </w:p>
    <w:p>
      <w:pPr>
        <w:keepNext/>
        <w:spacing w:after="60"/>
      </w:pPr>
      <w:r>
        <w:rPr>
          <w:b/>
          <w:color w:val="0284C7"/>
          <w:sz w:val="17"/>
        </w:rPr>
        <w:t>📋 Scope: PRT631 Requirement 4 · Live System Walkthrough  |  ⏱ Pacing: 10:45 - 11:45 (60 sec)</w:t>
      </w:r>
    </w:p>
    <w:p>
      <w:pPr>
        <w:keepNext/>
        <w:spacing w:after="100"/>
      </w:pPr>
      <w:r>
        <w:rPr>
          <w:b/>
          <w:color w:val="64748B"/>
          <w:sz w:val="17"/>
        </w:rPr>
        <w:t xml:space="preserve">👁 Slide Visual: </w:t>
      </w:r>
      <w:r>
        <w:rPr>
          <w:color w:val="1E293B"/>
          <w:sz w:val="17"/>
        </w:rPr>
        <w:t>Live Stuart Highway map screenshot (/admin/fleet), 35 CAN-bus vehicles plotted with velocity, fuel, battery, and depot hubs.</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Gesture across the longitudinal axis of the map from Darwin down to Alice Springs. Emphasize the 15-second stateless polling.</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"Stage 3 displays the heart of our spatial monitoring: the Corridor Telematics Map at `/admin/fleet`.</w:t>
            </w:r>
          </w:p>
          <w:p>
            <w:pPr>
              <w:spacing w:before="40" w:after="60" w:line="276" w:lineRule="auto"/>
            </w:pPr>
            <w:r>
              <w:rPr>
                <w:color w:val="1E293B"/>
                <w:sz w:val="18"/>
              </w:rPr>
              <w:t>Here, dispatchers monitor all 35 commercial road trains operating across the Northern Territory. Each vehicle marker reflects authentic CAN-bus telemetry: instantaneous road train velocity, battery voltage, fuel reserve, and driver identity.</w:t>
            </w:r>
          </w:p>
          <w:p>
            <w:pPr>
              <w:spacing w:before="40" w:after="60" w:line="276" w:lineRule="auto"/>
            </w:pPr>
            <w:r>
              <w:rPr>
                <w:color w:val="1E293B"/>
                <w:sz w:val="18"/>
              </w:rPr>
              <w:t>Dispatchers can toggle corridor filters—zooming instantly into Darwin Metro, Katherine Hub, Tennant Creek, or Alice Springs. Because our system relies on 15-second stateless REST polling rather than fragile persistent sockets, road trains moving through 3G fringe zones never trigger socket reconnection storms, maintaining a rock-solid 99.8% tracking synchronization rate."</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ECFDF5"/>
            <w:tcMar>
              <w:top w:w="80" w:type="dxa"/>
              <w:bottom w:w="80" w:type="dxa"/>
              <w:left w:w="160" w:type="dxa"/>
              <w:right w:w="140" w:type="dxa"/>
            </w:tcMar>
            <w:tcBorders>
              <w:top w:val="single" w:sz="4" w:space="0" w:color="E2E8F0"/>
              <w:bottom w:val="single" w:sz="4" w:space="0" w:color="E2E8F0"/>
              <w:left w:val="single" w:sz="24" w:space="0" w:color="047857"/>
              <w:right w:val="single" w:sz="4" w:space="0" w:color="E2E8F0"/>
            </w:tcBorders>
          </w:tcPr>
          <w:p>
            <w:pPr>
              <w:spacing w:before="0" w:after="60" w:line="276" w:lineRule="auto"/>
            </w:pPr>
            <w:r>
              <w:rPr>
                <w:sz w:val="20"/>
              </w:rPr>
              <w:t xml:space="preserve">💻 </w:t>
            </w:r>
            <w:r>
              <w:rPr>
                <w:b/>
                <w:color w:val="047857"/>
                <w:sz w:val="19"/>
              </w:rPr>
              <w:t>LIVE SYSTEM DEMONSTRATION ACTION (ON BROWSER)</w:t>
            </w:r>
          </w:p>
          <w:p>
            <w:pPr>
              <w:spacing w:before="40" w:after="60" w:line="276" w:lineRule="auto"/>
            </w:pPr>
            <w:r>
              <w:rPr>
                <w:color w:val="1E293B"/>
                <w:sz w:val="18"/>
              </w:rPr>
              <w:t>Navigate to /admin/fleet. Pan along the Stuart Highway, click a vehicle marker (e.g. NL-14), inspect the CAN-bus telemetry card showing speed (86 km/h) and fuel, and toggle depot zoom filters.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Demonstrates spatial GIS telemetry, performance under network constraints, and fleet monitoring.</w:t>
            </w:r>
          </w:p>
        </w:tc>
      </w:tr>
    </w:tbl>
    <w:p>
      <w:pPr>
        <w:spacing w:before="0" w:after="40"/>
      </w:pPr>
    </w:p>
    <w:p>
      <w:pPr>
        <w:keepNext/>
        <w:spacing w:before="280" w:after="40"/>
      </w:pPr>
      <w:r>
        <w:rPr>
          <w:b/>
          <w:color w:val="1A476F"/>
          <w:sz w:val="24"/>
        </w:rPr>
        <w:t>SLIDE 12: STAGE 4 — LINEHAUL DRIVER HANDSET &amp; CABIN EXPERIENCE</w:t>
      </w:r>
    </w:p>
    <w:p>
      <w:pPr>
        <w:keepNext/>
        <w:spacing w:after="60"/>
      </w:pPr>
      <w:r>
        <w:rPr>
          <w:b/>
          <w:color w:val="0284C7"/>
          <w:sz w:val="17"/>
        </w:rPr>
        <w:t>📋 Scope: PRT631 Requirement 4 · Live System Walkthrough  |  ⏱ Pacing: 11:45 - 12:30 (45 sec)</w:t>
      </w:r>
    </w:p>
    <w:p>
      <w:pPr>
        <w:keepNext/>
        <w:spacing w:after="100"/>
      </w:pPr>
      <w:r>
        <w:rPr>
          <w:b/>
          <w:color w:val="64748B"/>
          <w:sz w:val="17"/>
        </w:rPr>
        <w:t xml:space="preserve">👁 Slide Visual: </w:t>
      </w:r>
      <w:r>
        <w:rPr>
          <w:color w:val="1E293B"/>
          <w:sz w:val="17"/>
        </w:rPr>
        <w:t>In-cab mobile handset console screenshot (/driver/active), dark glare-resistant UI, sequential manifest drop cards, NHVR fatigue break timer.</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Mimic holding an in-cab tablet. Point out the ergonomic touch targets designed for high-vibration driving conditions.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"In Stage 4, we switch to the driver's perspective inside the cabin of Truck NL-14, driven by Dave Miller at `/driver/active`.</w:t>
            </w:r>
          </w:p>
          <w:p>
            <w:pPr>
              <w:spacing w:before="40" w:after="60" w:line="276" w:lineRule="auto"/>
            </w:pPr>
            <w:r>
              <w:rPr>
                <w:color w:val="1E293B"/>
                <w:sz w:val="18"/>
              </w:rPr>
              <w:t>Linehaul drivers face unique challenges: high cabin glare from outback sunshine, rough highway vibration, and strict statutory fatigue rules. We engineered the interface with high-contrast amber-on-dark tokens and oversized 48-pixel touch targets that can be tapped even while wearing work gloves.</w:t>
            </w:r>
          </w:p>
          <w:p>
            <w:pPr>
              <w:spacing w:before="40" w:after="60" w:line="276" w:lineRule="auto"/>
            </w:pPr>
            <w:r>
              <w:rPr>
                <w:color w:val="1E293B"/>
                <w:sz w:val="18"/>
              </w:rPr>
              <w:t>The console guides Dave through a sequential manifest workflow, while an integrated NHVR fatigue timer alerts him when statutory rest stops are due along his 15-hour haul."</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ECFDF5"/>
            <w:tcMar>
              <w:top w:w="80" w:type="dxa"/>
              <w:bottom w:w="80" w:type="dxa"/>
              <w:left w:w="160" w:type="dxa"/>
              <w:right w:w="140" w:type="dxa"/>
            </w:tcMar>
            <w:tcBorders>
              <w:top w:val="single" w:sz="4" w:space="0" w:color="E2E8F0"/>
              <w:bottom w:val="single" w:sz="4" w:space="0" w:color="E2E8F0"/>
              <w:left w:val="single" w:sz="24" w:space="0" w:color="047857"/>
              <w:right w:val="single" w:sz="4" w:space="0" w:color="E2E8F0"/>
            </w:tcBorders>
          </w:tcPr>
          <w:p>
            <w:pPr>
              <w:spacing w:before="0" w:after="60" w:line="276" w:lineRule="auto"/>
            </w:pPr>
            <w:r>
              <w:rPr>
                <w:sz w:val="20"/>
              </w:rPr>
              <w:t xml:space="preserve">💻 </w:t>
            </w:r>
            <w:r>
              <w:rPr>
                <w:b/>
                <w:color w:val="047857"/>
                <w:sz w:val="19"/>
              </w:rPr>
              <w:t>LIVE SYSTEM DEMONSTRATION ACTION (ON BROWSER)</w:t>
            </w:r>
          </w:p>
          <w:p>
            <w:pPr>
              <w:spacing w:before="40" w:after="60" w:line="276" w:lineRule="auto"/>
            </w:pPr>
            <w:r>
              <w:rPr>
                <w:color w:val="1E293B"/>
                <w:sz w:val="18"/>
              </w:rPr>
              <w:t>Navigate to /driver/active. Demonstrate the high-contrast UI, highlight the sequential stop workflow, and point to the active NHVR driver fatigue timer.</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Validates human-computer interaction (HCI) principles, ergonomic field UX design, and statutory fatigue law compliance.</w:t>
            </w:r>
          </w:p>
        </w:tc>
      </w:tr>
    </w:tbl>
    <w:p>
      <w:pPr>
        <w:spacing w:before="0" w:after="40"/>
      </w:pPr>
    </w:p>
    <w:p>
      <w:pPr>
        <w:keepNext/>
        <w:spacing w:before="280" w:after="40"/>
      </w:pPr>
      <w:r>
        <w:rPr>
          <w:b/>
          <w:color w:val="1A476F"/>
          <w:sz w:val="24"/>
        </w:rPr>
        <w:t>SLIDE 13: STAGE 5 — RECEIVING DOCK QUALITY CONTROL GATE</w:t>
      </w:r>
    </w:p>
    <w:p>
      <w:pPr>
        <w:keepNext/>
        <w:spacing w:after="60"/>
      </w:pPr>
      <w:r>
        <w:rPr>
          <w:b/>
          <w:color w:val="0284C7"/>
          <w:sz w:val="17"/>
        </w:rPr>
        <w:t>📋 Scope: PRT631 Requirement 4 · Live System Walkthrough  |  ⏱ Pacing: 12:30 - 13:30 (60 sec)</w:t>
      </w:r>
    </w:p>
    <w:p>
      <w:pPr>
        <w:keepNext/>
        <w:spacing w:after="100"/>
      </w:pPr>
      <w:r>
        <w:rPr>
          <w:b/>
          <w:color w:val="64748B"/>
          <w:sz w:val="17"/>
        </w:rPr>
        <w:t xml:space="preserve">👁 Slide Visual: </w:t>
      </w:r>
      <w:r>
        <w:rPr>
          <w:color w:val="1E293B"/>
          <w:sz w:val="17"/>
        </w:rPr>
        <w:t>Receiving dock QC dashboard screenshot (/qc?modal=1), 3-point inspection checklist (Bolt seal #NT-89422-SEC, cold-chain +4°C, packaging integrity), gated unlock button.</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Adopt an emphatic, serious tone. This is one of the key differentiators of TrackPoint. Emphasize that quality gates prevent fraud.</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"Stage 5 showcases TrackPoint's most critical operational control: the Receiving Dock Quality Control Gate at `/qc`.</w:t>
            </w:r>
          </w:p>
          <w:p>
            <w:pPr>
              <w:spacing w:before="40" w:after="60" w:line="276" w:lineRule="auto"/>
            </w:pPr>
            <w:r>
              <w:rPr>
                <w:color w:val="1E293B"/>
                <w:sz w:val="18"/>
              </w:rPr>
              <w:t>In commercial logistics, drivers often attempt to mark deliveries complete before cargo is properly inspected. TrackPoint prevents this by enforcing a hard gated state machine. When Dave's truck pulls into Receiving Bay 3 at Katherine, the delivery cannot be signed until QC Lead Marcus Vance completes a mandatory 3-point inspection:</w:t>
            </w:r>
          </w:p>
          <w:p>
            <w:pPr>
              <w:spacing w:before="40" w:after="60" w:line="276" w:lineRule="auto"/>
            </w:pPr>
            <w:r>
              <w:rPr>
                <w:color w:val="1E293B"/>
                <w:sz w:val="18"/>
              </w:rPr>
              <w:t>First, verifying that high-security bolt seal `#NT-89422-SEC` is intact and untampered.</w:t>
            </w:r>
          </w:p>
          <w:p>
            <w:pPr>
              <w:spacing w:before="40" w:after="60" w:line="276" w:lineRule="auto"/>
            </w:pPr>
            <w:r>
              <w:rPr>
                <w:color w:val="1E293B"/>
                <w:sz w:val="18"/>
              </w:rPr>
              <w:t>Second, logging the refrigerated trailer reefer temperature at exactly +4°C.</w:t>
            </w:r>
          </w:p>
          <w:p>
            <w:pPr>
              <w:spacing w:before="40" w:after="60" w:line="276" w:lineRule="auto"/>
            </w:pPr>
            <w:r>
              <w:rPr>
                <w:color w:val="1E293B"/>
                <w:sz w:val="18"/>
              </w:rPr>
              <w:t>And third, confirming zero packaging puncture or cargo shifting.</w:t>
            </w:r>
          </w:p>
          <w:p>
            <w:pPr>
              <w:spacing w:before="40" w:after="60" w:line="276" w:lineRule="auto"/>
            </w:pPr>
            <w:r>
              <w:rPr>
                <w:color w:val="1E293B"/>
                <w:sz w:val="18"/>
              </w:rPr>
              <w:t>Only when Marcus clicks 'Certify QC' does the system unlock the e-POD signature screen. This eliminates carrier-customer liability disputes permanently."</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ECFDF5"/>
            <w:tcMar>
              <w:top w:w="80" w:type="dxa"/>
              <w:bottom w:w="80" w:type="dxa"/>
              <w:left w:w="160" w:type="dxa"/>
              <w:right w:w="140" w:type="dxa"/>
            </w:tcMar>
            <w:tcBorders>
              <w:top w:val="single" w:sz="4" w:space="0" w:color="E2E8F0"/>
              <w:bottom w:val="single" w:sz="4" w:space="0" w:color="E2E8F0"/>
              <w:left w:val="single" w:sz="24" w:space="0" w:color="047857"/>
              <w:right w:val="single" w:sz="4" w:space="0" w:color="E2E8F0"/>
            </w:tcBorders>
          </w:tcPr>
          <w:p>
            <w:pPr>
              <w:spacing w:before="0" w:after="60" w:line="276" w:lineRule="auto"/>
            </w:pPr>
            <w:r>
              <w:rPr>
                <w:sz w:val="20"/>
              </w:rPr>
              <w:t xml:space="preserve">💻 </w:t>
            </w:r>
            <w:r>
              <w:rPr>
                <w:b/>
                <w:color w:val="047857"/>
                <w:sz w:val="19"/>
              </w:rPr>
              <w:t>LIVE SYSTEM DEMONSTRATION ACTION (ON BROWSER)</w:t>
            </w:r>
          </w:p>
          <w:p>
            <w:pPr>
              <w:spacing w:before="40" w:after="60" w:line="276" w:lineRule="auto"/>
            </w:pPr>
            <w:r>
              <w:rPr>
                <w:color w:val="1E293B"/>
                <w:sz w:val="18"/>
              </w:rPr>
              <w:t>Navigate to /qc?modal=1. Open the QC inspection modal, review the 3 checklist gates (seal, temperature, physical damage), and demonstrate how certifying QC transitions the workflow.</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Fulfills commercial risk management and Chain of Responsibility standards through automated workflow gating.</w:t>
            </w:r>
          </w:p>
        </w:tc>
      </w:tr>
    </w:tbl>
    <w:p>
      <w:pPr>
        <w:spacing w:before="0" w:after="40"/>
      </w:pPr>
    </w:p>
    <w:p>
      <w:pPr>
        <w:keepNext/>
        <w:spacing w:before="280" w:after="40"/>
      </w:pPr>
      <w:r>
        <w:rPr>
          <w:b/>
          <w:color w:val="1A476F"/>
          <w:sz w:val="24"/>
        </w:rPr>
        <w:t>SLIDE 14: STAGE 6 — DIGITAL GLASS E-POD &amp; OFFLINE CONFIRMATION</w:t>
      </w:r>
    </w:p>
    <w:p>
      <w:pPr>
        <w:keepNext/>
        <w:spacing w:after="60"/>
      </w:pPr>
      <w:r>
        <w:rPr>
          <w:b/>
          <w:color w:val="0284C7"/>
          <w:sz w:val="17"/>
        </w:rPr>
        <w:t>📋 Scope: PRT631 Requirement 4 · Live System Walkthrough  |  ⏱ Pacing: 13:30 - 14:30 (60 sec)</w:t>
      </w:r>
    </w:p>
    <w:p>
      <w:pPr>
        <w:keepNext/>
        <w:spacing w:after="100"/>
      </w:pPr>
      <w:r>
        <w:rPr>
          <w:b/>
          <w:color w:val="64748B"/>
          <w:sz w:val="17"/>
        </w:rPr>
        <w:t xml:space="preserve">👁 Slide Visual: </w:t>
      </w:r>
      <w:r>
        <w:rPr>
          <w:color w:val="1E293B"/>
          <w:sz w:val="17"/>
        </w:rPr>
        <w:t>Unlocked HTML5 glass signature pad screenshot (/driver/active), consignee name input, GPS geostamp badge, offline buffer indicator.</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Gesture as if signing on glass. Explain how the digital signature creates an immutable audit artifact.</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"Once QC certification clears, Stage 6 unlocks the digital glass signature pad for consignee Sandra Wilson.</w:t>
            </w:r>
          </w:p>
          <w:p>
            <w:pPr>
              <w:spacing w:before="40" w:after="60" w:line="276" w:lineRule="auto"/>
            </w:pPr>
            <w:r>
              <w:rPr>
                <w:color w:val="1E293B"/>
                <w:sz w:val="18"/>
              </w:rPr>
              <w:t>Sandra signs directly on the tablet screen using an HTML5 vector canvas. TrackPoint packages the signature vector coordinates, Sandra's legal name, precise GPS coordinates, and a UTC timestamp into an immutable JSON audit package.</w:t>
            </w:r>
          </w:p>
          <w:p>
            <w:pPr>
              <w:spacing w:before="40" w:after="60" w:line="276" w:lineRule="auto"/>
            </w:pPr>
            <w:r>
              <w:rPr>
                <w:color w:val="1E293B"/>
                <w:sz w:val="18"/>
              </w:rPr>
              <w:t>Crucially, if this delivery occurs at an outback mine site with zero cellular signal, the transaction buffers instantly into LocalStorage with an amber confirmation badge. Sandra and Dave have total assurance that the proof-of-delivery is legally committed without waiting for cellular connectivity."</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ECFDF5"/>
            <w:tcMar>
              <w:top w:w="80" w:type="dxa"/>
              <w:bottom w:w="80" w:type="dxa"/>
              <w:left w:w="160" w:type="dxa"/>
              <w:right w:w="140" w:type="dxa"/>
            </w:tcMar>
            <w:tcBorders>
              <w:top w:val="single" w:sz="4" w:space="0" w:color="E2E8F0"/>
              <w:bottom w:val="single" w:sz="4" w:space="0" w:color="E2E8F0"/>
              <w:left w:val="single" w:sz="24" w:space="0" w:color="047857"/>
              <w:right w:val="single" w:sz="4" w:space="0" w:color="E2E8F0"/>
            </w:tcBorders>
          </w:tcPr>
          <w:p>
            <w:pPr>
              <w:spacing w:before="0" w:after="60" w:line="276" w:lineRule="auto"/>
            </w:pPr>
            <w:r>
              <w:rPr>
                <w:sz w:val="20"/>
              </w:rPr>
              <w:t xml:space="preserve">💻 </w:t>
            </w:r>
            <w:r>
              <w:rPr>
                <w:b/>
                <w:color w:val="047857"/>
                <w:sz w:val="19"/>
              </w:rPr>
              <w:t>LIVE SYSTEM DEMONSTRATION ACTION (ON BROWSER)</w:t>
            </w:r>
          </w:p>
          <w:p>
            <w:pPr>
              <w:spacing w:before="40" w:after="60" w:line="276" w:lineRule="auto"/>
            </w:pPr>
            <w:r>
              <w:rPr>
                <w:color w:val="1E293B"/>
                <w:sz w:val="18"/>
              </w:rPr>
              <w:t>In /driver/active?id=TP-3641, draw a test signature on the canvas, enter 'Sandra Wilson', click 'Confirm Delivery', and show the immediate status update and offline queue notification.</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Validates HTML5 touch vector capture, offline data persistence, and compliance with the Electronic Transactions Act 1999.</w:t>
            </w:r>
          </w:p>
        </w:tc>
      </w:tr>
    </w:tbl>
    <w:p>
      <w:pPr>
        <w:spacing w:before="0" w:after="40"/>
      </w:pPr>
    </w:p>
    <w:p>
      <w:pPr>
        <w:keepNext/>
        <w:spacing w:before="280" w:after="40"/>
      </w:pPr>
      <w:r>
        <w:rPr>
          <w:b/>
          <w:color w:val="1A476F"/>
          <w:sz w:val="24"/>
        </w:rPr>
        <w:t>SLIDE 15: STAGE 7 — AUTOMATED BILLING &amp; AUSTRALIAN TAX INVOICING</w:t>
      </w:r>
    </w:p>
    <w:p>
      <w:pPr>
        <w:keepNext/>
        <w:spacing w:after="60"/>
      </w:pPr>
      <w:r>
        <w:rPr>
          <w:b/>
          <w:color w:val="0284C7"/>
          <w:sz w:val="17"/>
        </w:rPr>
        <w:t>📋 Scope: PRT631 Requirement 4 · Live System Walkthrough  |  ⏱ Pacing: 14:30 - 15:30 (60 sec)</w:t>
      </w:r>
    </w:p>
    <w:p>
      <w:pPr>
        <w:keepNext/>
        <w:spacing w:after="100"/>
      </w:pPr>
      <w:r>
        <w:rPr>
          <w:b/>
          <w:color w:val="64748B"/>
          <w:sz w:val="17"/>
        </w:rPr>
        <w:t xml:space="preserve">👁 Slide Visual: </w:t>
      </w:r>
      <w:r>
        <w:rPr>
          <w:color w:val="1E293B"/>
          <w:sz w:val="17"/>
        </w:rPr>
        <w:t>Official Australian Tax Invoice screenshot (/admin/invoices), itemized 10% GST calculation, verified ABN, embedded recipient signature vector, 7-year audit retention badge.</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Smile and deliver this point with financial clarity. Contrast this instant invoice with the 14-day paper docket lag.</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"The exact millisecond Sandra's signature is confirmed, Stage 7 activates: TrackPoint's automated billing engine generates an official Australian Tax Invoice at `/admin/invoices`.</w:t>
            </w:r>
          </w:p>
          <w:p>
            <w:pPr>
              <w:spacing w:before="40" w:after="60" w:line="276" w:lineRule="auto"/>
            </w:pPr>
            <w:r>
              <w:rPr>
                <w:color w:val="1E293B"/>
                <w:sz w:val="18"/>
              </w:rPr>
              <w:t>Under Australian Taxation Office Ruling GSTR 2013/1, an invoice must contain specific legal elements: a verified Australian Business Number (ABN), clear buyer and supplier details, and itemized 10% GST calculations. TrackPoint renders all of these automatically and embeds Sandra's actual vector signature directly onto the invoice document.</w:t>
            </w:r>
          </w:p>
          <w:p>
            <w:pPr>
              <w:spacing w:before="40" w:after="60" w:line="276" w:lineRule="auto"/>
            </w:pPr>
            <w:r>
              <w:rPr>
                <w:color w:val="1E293B"/>
                <w:sz w:val="18"/>
              </w:rPr>
              <w:t>This collapses NorthLine's billing cycle from 14 days down to zero seconds—releasing over $400,000 in trapped working capital and permanently archiving the record for 7 years under Section 286 of the Corporations Act."</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ECFDF5"/>
            <w:tcMar>
              <w:top w:w="80" w:type="dxa"/>
              <w:bottom w:w="80" w:type="dxa"/>
              <w:left w:w="160" w:type="dxa"/>
              <w:right w:w="140" w:type="dxa"/>
            </w:tcMar>
            <w:tcBorders>
              <w:top w:val="single" w:sz="4" w:space="0" w:color="E2E8F0"/>
              <w:bottom w:val="single" w:sz="4" w:space="0" w:color="E2E8F0"/>
              <w:left w:val="single" w:sz="24" w:space="0" w:color="047857"/>
              <w:right w:val="single" w:sz="4" w:space="0" w:color="E2E8F0"/>
            </w:tcBorders>
          </w:tcPr>
          <w:p>
            <w:pPr>
              <w:spacing w:before="0" w:after="60" w:line="276" w:lineRule="auto"/>
            </w:pPr>
            <w:r>
              <w:rPr>
                <w:sz w:val="20"/>
              </w:rPr>
              <w:t xml:space="preserve">💻 </w:t>
            </w:r>
            <w:r>
              <w:rPr>
                <w:b/>
                <w:color w:val="047857"/>
                <w:sz w:val="19"/>
              </w:rPr>
              <w:t>LIVE SYSTEM DEMONSTRATION ACTION (ON BROWSER)</w:t>
            </w:r>
          </w:p>
          <w:p>
            <w:pPr>
              <w:spacing w:before="40" w:after="60" w:line="276" w:lineRule="auto"/>
            </w:pPr>
            <w:r>
              <w:rPr>
                <w:color w:val="1E293B"/>
                <w:sz w:val="18"/>
              </w:rPr>
              <w:t>Navigate to /admin/invoices. Open Invoice #INV-2026-9363, highlight the itemized 10% GST breakdown, ABN verification, and the embedded digital signature image.</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Validates automated financial settlement, statutory ATO tax compliance, and working capital acceleration.</w:t>
            </w:r>
          </w:p>
        </w:tc>
      </w:tr>
    </w:tbl>
    <w:p>
      <w:pPr>
        <w:spacing w:before="0" w:after="40"/>
      </w:pPr>
    </w:p>
    <w:p>
      <w:pPr>
        <w:keepNext/>
        <w:spacing w:before="280" w:after="40"/>
      </w:pPr>
      <w:r>
        <w:rPr>
          <w:b/>
          <w:color w:val="1A476F"/>
          <w:sz w:val="24"/>
        </w:rPr>
        <w:t>SLIDE 16: STAGE 8 — EXECUTIVE TELEMATICS, FUEL BURN &amp; SLA ANALYTICS</w:t>
      </w:r>
    </w:p>
    <w:p>
      <w:pPr>
        <w:keepNext/>
        <w:spacing w:after="60"/>
      </w:pPr>
      <w:r>
        <w:rPr>
          <w:b/>
          <w:color w:val="0284C7"/>
          <w:sz w:val="17"/>
        </w:rPr>
        <w:t>📋 Scope: PRT631 Requirement 4 · Live System Walkthrough  |  ⏱ Pacing: 15:30 - 16:15 (45 sec)</w:t>
      </w:r>
    </w:p>
    <w:p>
      <w:pPr>
        <w:keepNext/>
        <w:spacing w:after="100"/>
      </w:pPr>
      <w:r>
        <w:rPr>
          <w:b/>
          <w:color w:val="64748B"/>
          <w:sz w:val="17"/>
        </w:rPr>
        <w:t xml:space="preserve">👁 Slide Visual: </w:t>
      </w:r>
      <w:r>
        <w:rPr>
          <w:color w:val="1E293B"/>
          <w:sz w:val="17"/>
        </w:rPr>
        <w:t>Executive Analytics Hub screenshot (/admin/analytics), reactive Chart.js charts showing 96.4% on-time delivery rate, fleet fuel telemetry, depot dwell times, and exception root causes.</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Conclude the live demonstration by presenting executive business intelligence. Speak with executive composure.</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"Finally, Stage 8 provides executive operational oversight via our Analytics Hub at `/admin/analytics`, utilized by Managing Director Charles Montgomery.</w:t>
            </w:r>
          </w:p>
          <w:p>
            <w:pPr>
              <w:spacing w:before="40" w:after="60" w:line="276" w:lineRule="auto"/>
            </w:pPr>
            <w:r>
              <w:rPr>
                <w:color w:val="1E293B"/>
                <w:sz w:val="18"/>
              </w:rPr>
              <w:t>Using reactive Chart.js visualizations, executive leadership monitors NorthLine's core KPIs in real time: our 96.4% on-time delivery SLA, fleet fuel burn efficiency across road train combinations, and depot turnaround dwell times.</w:t>
            </w:r>
          </w:p>
          <w:p>
            <w:pPr>
              <w:spacing w:before="40" w:after="60" w:line="276" w:lineRule="auto"/>
            </w:pPr>
            <w:r>
              <w:rPr>
                <w:color w:val="1E293B"/>
                <w:sz w:val="18"/>
              </w:rPr>
              <w:t>Furthermore, the system tracks delivery exceptions—categorizing delays by monsoonal weather washouts, road works, or mechanical servicing—providing actionable intelligence for continuous network optimization."</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ECFDF5"/>
            <w:tcMar>
              <w:top w:w="80" w:type="dxa"/>
              <w:bottom w:w="80" w:type="dxa"/>
              <w:left w:w="160" w:type="dxa"/>
              <w:right w:w="140" w:type="dxa"/>
            </w:tcMar>
            <w:tcBorders>
              <w:top w:val="single" w:sz="4" w:space="0" w:color="E2E8F0"/>
              <w:bottom w:val="single" w:sz="4" w:space="0" w:color="E2E8F0"/>
              <w:left w:val="single" w:sz="24" w:space="0" w:color="047857"/>
              <w:right w:val="single" w:sz="4" w:space="0" w:color="E2E8F0"/>
            </w:tcBorders>
          </w:tcPr>
          <w:p>
            <w:pPr>
              <w:spacing w:before="0" w:after="60" w:line="276" w:lineRule="auto"/>
            </w:pPr>
            <w:r>
              <w:rPr>
                <w:sz w:val="20"/>
              </w:rPr>
              <w:t xml:space="preserve">💻 </w:t>
            </w:r>
            <w:r>
              <w:rPr>
                <w:b/>
                <w:color w:val="047857"/>
                <w:sz w:val="19"/>
              </w:rPr>
              <w:t>LIVE SYSTEM DEMONSTRATION ACTION (ON BROWSER)</w:t>
            </w:r>
          </w:p>
          <w:p>
            <w:pPr>
              <w:spacing w:before="40" w:after="60" w:line="276" w:lineRule="auto"/>
            </w:pPr>
            <w:r>
              <w:rPr>
                <w:color w:val="1E293B"/>
                <w:sz w:val="18"/>
              </w:rPr>
              <w:t>Navigate to /admin/analytics. Hover over the Chart.js on-time delivery graph, display depot turnaround dwell times, and review delivery delay categorization.</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Demonstrates executive business intelligence, reactive data visualization, and operational continuous improvement.</w:t>
            </w:r>
          </w:p>
        </w:tc>
      </w:tr>
    </w:tbl>
    <w:p>
      <w:pPr>
        <w:spacing w:before="0" w:after="40"/>
      </w:pPr>
    </w:p>
    <w:p>
      <w:pPr>
        <w:keepNext/>
        <w:spacing w:before="280" w:after="40"/>
      </w:pPr>
      <w:r>
        <w:rPr>
          <w:b/>
          <w:color w:val="1A476F"/>
          <w:sz w:val="24"/>
        </w:rPr>
        <w:t>SLIDE 17: THREAT ANALYSIS, SECURITY &amp; GOVERNANCE ARCHITECTURE</w:t>
      </w:r>
    </w:p>
    <w:p>
      <w:pPr>
        <w:keepNext/>
        <w:spacing w:after="60"/>
      </w:pPr>
      <w:r>
        <w:rPr>
          <w:b/>
          <w:color w:val="0284C7"/>
          <w:sz w:val="17"/>
        </w:rPr>
        <w:t>📋 Scope: PRT631 Requirement 6 · Security &amp; Legal Compliance  |  ⏱ Pacing: 16:15 - 17:15 (60 sec)</w:t>
      </w:r>
    </w:p>
    <w:p>
      <w:pPr>
        <w:keepNext/>
        <w:spacing w:after="100"/>
      </w:pPr>
      <w:r>
        <w:rPr>
          <w:b/>
          <w:color w:val="64748B"/>
          <w:sz w:val="17"/>
        </w:rPr>
        <w:t xml:space="preserve">👁 Slide Visual: </w:t>
      </w:r>
      <w:r>
        <w:rPr>
          <w:color w:val="1E293B"/>
          <w:sz w:val="17"/>
        </w:rPr>
        <w:t>4 Governance Pillars (Role-Based Access Control, Australian Privacy Principles, HVNL Chain of Responsibility, ATO Tax Invoicing &amp; 7-Year Archive).</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Deliver with serious, formal academic rigor. Address PRT631 Requirement 6 explicitly, citing specific Australian legal statutes.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"Turning to PRT631 Requirement 6, enterprise freight systems handle sensitive commercial pricing and public highway safety. We conducted a comprehensive threat analysis across four security domains:</w:t>
            </w:r>
          </w:p>
          <w:p>
            <w:pPr>
              <w:spacing w:before="40" w:after="60" w:line="276" w:lineRule="auto"/>
            </w:pPr>
            <w:r>
              <w:rPr>
                <w:color w:val="1E293B"/>
                <w:sz w:val="18"/>
              </w:rPr>
              <w:t>First, Access Control: We mitigated unauthorized dispatch tampering and driver impersonation by enforcing strict Role-Based Access Control with bcrypt password hashing and signed JWT tokens validated on every route via Next.js middleware.</w:t>
            </w:r>
          </w:p>
          <w:p>
            <w:pPr>
              <w:spacing w:before="40" w:after="60" w:line="276" w:lineRule="auto"/>
            </w:pPr>
            <w:r>
              <w:rPr>
                <w:color w:val="1E293B"/>
                <w:sz w:val="18"/>
              </w:rPr>
              <w:t>Second, Data Privacy: Under the Australian Privacy Principles of the Privacy Act 1988, client rate sheets and driver location histories are encrypted at rest with AES-256 and transmitted exclusively via TLS 1.3 encrypted tunnels.</w:t>
            </w:r>
          </w:p>
          <w:p>
            <w:pPr>
              <w:spacing w:before="40" w:after="60" w:line="276" w:lineRule="auto"/>
            </w:pPr>
            <w:r>
              <w:rPr>
                <w:color w:val="1E293B"/>
                <w:sz w:val="18"/>
              </w:rPr>
              <w:t>Third, Transport Safety: Under the Heavy Vehicle National Law, our system maintains an immutable dispatch override log and enforces Gross Combination Mass limits to prevent catastrophic axle overload rollovers.</w:t>
            </w:r>
          </w:p>
          <w:p>
            <w:pPr>
              <w:spacing w:before="40" w:after="60" w:line="276" w:lineRule="auto"/>
            </w:pPr>
            <w:r>
              <w:rPr>
                <w:color w:val="1E293B"/>
                <w:sz w:val="18"/>
              </w:rPr>
              <w:t>And fourth, Statutory Compliance: Tax invoices and signature audit packages are preserved in an append-only archive for seven years in compliance with Corporations Act Section 286."</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Fulfills PRT631 Requirement 6 by detailing proactive threat modeling, cryptographic security, and statutory Australian compliance frameworks.</w:t>
            </w:r>
          </w:p>
        </w:tc>
      </w:tr>
    </w:tbl>
    <w:p>
      <w:pPr>
        <w:spacing w:before="0" w:after="40"/>
      </w:pPr>
    </w:p>
    <w:p>
      <w:pPr>
        <w:keepNext/>
        <w:spacing w:before="280" w:after="40"/>
      </w:pPr>
      <w:r>
        <w:rPr>
          <w:b/>
          <w:color w:val="1A476F"/>
          <w:sz w:val="24"/>
        </w:rPr>
        <w:t>SLIDE 18: OPERATIONAL, ENVIRONMENTAL &amp; FINANCIAL CONTINGENCY PLANNING</w:t>
      </w:r>
    </w:p>
    <w:p>
      <w:pPr>
        <w:keepNext/>
        <w:spacing w:after="60"/>
      </w:pPr>
      <w:r>
        <w:rPr>
          <w:b/>
          <w:color w:val="0284C7"/>
          <w:sz w:val="17"/>
        </w:rPr>
        <w:t>📋 Scope: PRT631 Requirement 6 · Risk Mitigation &amp; Continuity  |  ⏱ Pacing: 17:15 - 18:15 (60 sec)</w:t>
      </w:r>
    </w:p>
    <w:p>
      <w:pPr>
        <w:keepNext/>
        <w:spacing w:after="100"/>
      </w:pPr>
      <w:r>
        <w:rPr>
          <w:b/>
          <w:color w:val="64748B"/>
          <w:sz w:val="17"/>
        </w:rPr>
        <w:t xml:space="preserve">👁 Slide Visual: </w:t>
      </w:r>
      <w:r>
        <w:rPr>
          <w:color w:val="1E293B"/>
          <w:sz w:val="17"/>
        </w:rPr>
        <w:t>3 Contingency Columns (Outback Blackout, Wet Season Flooding, Cloud Disaster) with triggers, RPO/RTO targets, and operational guarantees.</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Present these contingency scenarios with confidence. Show that the architecture is prepared for outback disaster scenarios.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"In addition to threat modeling, Requirement 6 mandates robust contingency planning for severe operational disruptions:</w:t>
            </w:r>
          </w:p>
          <w:p>
            <w:pPr>
              <w:spacing w:before="40" w:after="60" w:line="276" w:lineRule="auto"/>
            </w:pPr>
            <w:r>
              <w:rPr>
                <w:color w:val="1E293B"/>
                <w:sz w:val="18"/>
              </w:rPr>
              <w:t>Scenario 1: Outback Cellular Blackouts. When trucks travel through prolonged dead zones, our 72-hour encrypted edge queue allows uninterrupted manifest drops and signature captures. Upon arrival at terminal Wi-Fi, queues automatically synchronize with an RPO of zero seconds.</w:t>
            </w:r>
          </w:p>
          <w:p>
            <w:pPr>
              <w:spacing w:before="40" w:after="60" w:line="276" w:lineRule="auto"/>
            </w:pPr>
            <w:r>
              <w:rPr>
                <w:color w:val="1E293B"/>
                <w:sz w:val="18"/>
              </w:rPr>
              <w:t>Scenario 2: Wet Season Highway Flooding. Monsoonal washouts frequently close sections of the Stuart Highway. TrackPoint detects official road closures, issues dynamic detour routes via Barkly Highway, and activates pre-configured container swaps to the Alice Springs-to-Darwin freight railway.</w:t>
            </w:r>
          </w:p>
          <w:p>
            <w:pPr>
              <w:spacing w:before="40" w:after="60" w:line="276" w:lineRule="auto"/>
            </w:pPr>
            <w:r>
              <w:rPr>
                <w:color w:val="1E293B"/>
                <w:sz w:val="18"/>
              </w:rPr>
              <w:t>Scenario 3: Cloud Infrastructure Disaster. In the event of an AWS or regional data center outage, Vercel serverless edge routes fail over automatically, while hourly MongoDB Atlas snapshots guarantee a Recovery Point Objective of under 15 minutes and Recovery Time Objective under 30 minutes."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Fulfills PRT631 Requirement 6 by establishing actionable, fault-tolerant business continuity protocols.</w:t>
            </w:r>
          </w:p>
        </w:tc>
      </w:tr>
    </w:tbl>
    <w:p>
      <w:pPr>
        <w:spacing w:before="0" w:after="40"/>
      </w:pPr>
    </w:p>
    <w:p>
      <w:pPr>
        <w:keepNext/>
        <w:spacing w:before="280" w:after="40"/>
      </w:pPr>
      <w:r>
        <w:rPr>
          <w:b/>
          <w:color w:val="1A476F"/>
          <w:sz w:val="24"/>
        </w:rPr>
        <w:t>SLIDE 19: IMPLEMENTATION ROADMAP &amp; FUTURE HORIZONS</w:t>
      </w:r>
    </w:p>
    <w:p>
      <w:pPr>
        <w:keepNext/>
        <w:spacing w:after="60"/>
      </w:pPr>
      <w:r>
        <w:rPr>
          <w:b/>
          <w:color w:val="0284C7"/>
          <w:sz w:val="17"/>
        </w:rPr>
        <w:t>📋 Scope: PRT631 Requirement 5 · Project Execution &amp; Strategic Growth  |  ⏱ Pacing: 18:15 - 19:00 (45 sec)</w:t>
      </w:r>
    </w:p>
    <w:p>
      <w:pPr>
        <w:keepNext/>
        <w:spacing w:after="100"/>
      </w:pPr>
      <w:r>
        <w:rPr>
          <w:b/>
          <w:color w:val="64748B"/>
          <w:sz w:val="17"/>
        </w:rPr>
        <w:t xml:space="preserve">👁 Slide Visual: </w:t>
      </w:r>
      <w:r>
        <w:rPr>
          <w:color w:val="1E293B"/>
          <w:sz w:val="17"/>
        </w:rPr>
        <w:t>3 Horizon Columns (Horizon 1: Completed MVP, Horizon 2: Near Term Weather AI &amp; IoT, Horizon 3: National Intermodal Scale) with budgets and deliverables.</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Transition from current execution to strategic vision. Speak with clarity on project management discipline and long-term viability.</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"Under PRT631 Requirement 5, we executed the project across a disciplined 12-week Agile implementation roadmap, while planning strategic horizons:</w:t>
            </w:r>
          </w:p>
          <w:p>
            <w:pPr>
              <w:spacing w:before="40" w:after="60" w:line="276" w:lineRule="auto"/>
            </w:pPr>
            <w:r>
              <w:rPr>
                <w:color w:val="1E293B"/>
                <w:sz w:val="18"/>
              </w:rPr>
              <w:t>Horizon 1 is 100% complete today: delivering the core MVP, dispatch engine, Leaflet GIS tracking, offline e-POD, and live Vercel production deployment within our $45,000 capstone R&amp;D scope.</w:t>
            </w:r>
          </w:p>
          <w:p>
            <w:pPr>
              <w:spacing w:before="40" w:after="60" w:line="276" w:lineRule="auto"/>
            </w:pPr>
            <w:r>
              <w:rPr>
                <w:color w:val="1E293B"/>
                <w:sz w:val="18"/>
              </w:rPr>
              <w:t>Horizon 2, planned for months 3 to 6 with a $35,000 budget, introduces automated Bureau of Meteorology flood alert ingestion and Bluetooth Low Energy temperature probes for refrigerated road trains.</w:t>
            </w:r>
          </w:p>
          <w:p>
            <w:pPr>
              <w:spacing w:before="40" w:after="60" w:line="276" w:lineRule="auto"/>
            </w:pPr>
            <w:r>
              <w:rPr>
                <w:color w:val="1E293B"/>
                <w:sz w:val="18"/>
              </w:rPr>
              <w:t>And Horizon 3, planned for months 6 to 12, expands TrackPoint nationally to NorthLine terminals in Sydney and Melbourne, integrating direct EDI links with Aurizon rail and enterprise ERP systems."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Fulfills PRT631 Requirement 5 by providing an Agile project execution breakdown and strategic post-launch expansion plan.</w:t>
            </w:r>
          </w:p>
        </w:tc>
      </w:tr>
    </w:tbl>
    <w:p>
      <w:pPr>
        <w:spacing w:before="0" w:after="40"/>
      </w:pPr>
    </w:p>
    <w:p>
      <w:pPr>
        <w:keepNext/>
        <w:spacing w:before="280" w:after="40"/>
      </w:pPr>
      <w:r>
        <w:rPr>
          <w:b/>
          <w:color w:val="1A476F"/>
          <w:sz w:val="24"/>
        </w:rPr>
        <w:t>SLIDE 20: CONCLUSION, ROI SUMMARY &amp; DEFENSE SIGN-OFF</w:t>
      </w:r>
    </w:p>
    <w:p>
      <w:pPr>
        <w:keepNext/>
        <w:spacing w:after="60"/>
      </w:pPr>
      <w:r>
        <w:rPr>
          <w:b/>
          <w:color w:val="0284C7"/>
          <w:sz w:val="17"/>
        </w:rPr>
        <w:t>📋 Scope: PRT631 Assessment Defense · Final Evaluation Summary  |  ⏱ Pacing: 19:00 - 20:00 (60 sec)</w:t>
      </w:r>
    </w:p>
    <w:p>
      <w:pPr>
        <w:keepNext/>
        <w:spacing w:after="100"/>
      </w:pPr>
      <w:r>
        <w:rPr>
          <w:b/>
          <w:color w:val="64748B"/>
          <w:sz w:val="17"/>
        </w:rPr>
        <w:t xml:space="preserve">👁 Slide Visual: </w:t>
      </w:r>
      <w:r>
        <w:rPr>
          <w:color w:val="1E293B"/>
          <w:sz w:val="17"/>
        </w:rPr>
        <w:t>4 Financial ROI Cards (90% Faster Dispatch, 100% Billing Acceleration, $205K Net Annual Savings, 2.4-Yr Payback) + Capstone 100% Verification card.</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EF3C7"/>
            <w:tcMar>
              <w:top w:w="80" w:type="dxa"/>
              <w:bottom w:w="80" w:type="dxa"/>
              <w:left w:w="160" w:type="dxa"/>
              <w:right w:w="140" w:type="dxa"/>
            </w:tcMar>
            <w:tcBorders>
              <w:top w:val="single" w:sz="4" w:space="0" w:color="E2E8F0"/>
              <w:bottom w:val="single" w:sz="4" w:space="0" w:color="E2E8F0"/>
              <w:left w:val="single" w:sz="24" w:space="0" w:color="B45309"/>
              <w:right w:val="single" w:sz="4" w:space="0" w:color="E2E8F0"/>
            </w:tcBorders>
          </w:tcPr>
          <w:p>
            <w:pPr>
              <w:spacing w:before="0" w:after="60" w:line="276" w:lineRule="auto"/>
            </w:pPr>
            <w:r>
              <w:rPr>
                <w:sz w:val="20"/>
              </w:rPr>
              <w:t xml:space="preserve">🎬 </w:t>
            </w:r>
            <w:r>
              <w:rPr>
                <w:b/>
                <w:color w:val="B45309"/>
                <w:sz w:val="19"/>
              </w:rPr>
              <w:t>STAGE DIRECTION &amp; PRESENTER POSTURE</w:t>
            </w:r>
          </w:p>
          <w:p>
            <w:pPr>
              <w:spacing w:before="40" w:after="60" w:line="276" w:lineRule="auto"/>
            </w:pPr>
            <w:r>
              <w:rPr>
                <w:color w:val="1E293B"/>
                <w:sz w:val="18"/>
              </w:rPr>
              <w:t>Stand tall, make direct, confident eye contact with each panel member, and deliver closing statements with professional pride. Welcome questions warmly.</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8FAFC"/>
            <w:tcMar>
              <w:top w:w="80" w:type="dxa"/>
              <w:bottom w:w="80" w:type="dxa"/>
              <w:left w:w="160" w:type="dxa"/>
              <w:right w:w="140" w:type="dxa"/>
            </w:tcMar>
            <w:tcBorders>
              <w:top w:val="single" w:sz="4" w:space="0" w:color="E2E8F0"/>
              <w:bottom w:val="single" w:sz="4" w:space="0" w:color="E2E8F0"/>
              <w:left w:val="single" w:sz="24" w:space="0" w:color="1A476F"/>
              <w:right w:val="single" w:sz="4" w:space="0" w:color="E2E8F0"/>
            </w:tcBorders>
          </w:tcPr>
          <w:p>
            <w:pPr>
              <w:spacing w:before="0" w:after="60" w:line="276" w:lineRule="auto"/>
            </w:pPr>
            <w:r>
              <w:rPr>
                <w:sz w:val="20"/>
              </w:rPr>
              <w:t xml:space="preserve">🗣 </w:t>
            </w:r>
            <w:r>
              <w:rPr>
                <w:b/>
                <w:color w:val="1A476F"/>
                <w:sz w:val="19"/>
              </w:rPr>
              <w:t>WHAT YOU SAY (WORD-FOR-WORD SPOKEN SCRIPT)</w:t>
            </w:r>
          </w:p>
          <w:p>
            <w:pPr>
              <w:spacing w:before="40" w:after="60" w:line="276" w:lineRule="auto"/>
            </w:pPr>
            <w:r>
              <w:rPr>
                <w:color w:val="1E293B"/>
                <w:sz w:val="18"/>
              </w:rPr>
              <w:t>"In conclusion, TrackPoint demonstrates that modern web technologies—when combined with offline-first architectural principles—can conquer the most demanding transport corridors in the world.</w:t>
            </w:r>
          </w:p>
          <w:p>
            <w:pPr>
              <w:spacing w:before="40" w:after="60" w:line="276" w:lineRule="auto"/>
            </w:pPr>
            <w:r>
              <w:rPr>
                <w:color w:val="1E293B"/>
                <w:sz w:val="18"/>
              </w:rPr>
              <w:t>For NorthLine Freight &amp; Logistics, TrackPoint delivers measurable commercial returns:</w:t>
            </w:r>
          </w:p>
          <w:p>
            <w:pPr>
              <w:spacing w:before="40" w:after="60" w:line="276" w:lineRule="auto"/>
            </w:pPr>
            <w:r>
              <w:rPr>
                <w:color w:val="1E293B"/>
                <w:sz w:val="18"/>
              </w:rPr>
              <w:t>A 90% reduction in dispatch latency from 45 minutes to 4.2 seconds;</w:t>
            </w:r>
          </w:p>
          <w:p>
            <w:pPr>
              <w:spacing w:before="40" w:after="60" w:line="276" w:lineRule="auto"/>
            </w:pPr>
            <w:r>
              <w:rPr>
                <w:color w:val="1E293B"/>
                <w:sz w:val="18"/>
              </w:rPr>
              <w:t>A 100% acceleration in billing, collapsing a 14-day cash flow lag into zero seconds;</w:t>
            </w:r>
          </w:p>
          <w:p>
            <w:pPr>
              <w:spacing w:before="40" w:after="60" w:line="276" w:lineRule="auto"/>
            </w:pPr>
            <w:r>
              <w:rPr>
                <w:color w:val="1E293B"/>
                <w:sz w:val="18"/>
              </w:rPr>
              <w:t>$205,000 in recurring net annual savings;</w:t>
            </w:r>
          </w:p>
          <w:p>
            <w:pPr>
              <w:spacing w:before="40" w:after="60" w:line="276" w:lineRule="auto"/>
            </w:pPr>
            <w:r>
              <w:rPr>
                <w:color w:val="1E293B"/>
                <w:sz w:val="18"/>
              </w:rPr>
              <w:t>And a full capital payback period of just 2.4 years.</w:t>
            </w:r>
          </w:p>
          <w:p>
            <w:pPr>
              <w:spacing w:before="40" w:after="60" w:line="276" w:lineRule="auto"/>
            </w:pPr>
            <w:r>
              <w:rPr>
                <w:color w:val="1E293B"/>
                <w:sz w:val="18"/>
              </w:rPr>
              <w:t>Most importantly, TrackPoint 100% fulfills every academic and technical objective required by the PRT631 Capstone syllabus and is accessible live today on Vercel at trackpoint-platform.vercel.app.</w:t>
            </w:r>
          </w:p>
          <w:p>
            <w:pPr>
              <w:spacing w:before="40" w:after="60" w:line="276" w:lineRule="auto"/>
            </w:pPr>
            <w:r>
              <w:rPr>
                <w:color w:val="1E293B"/>
                <w:sz w:val="18"/>
              </w:rPr>
              <w:t>Thank you for your time and guidance throughout this semester. I am now delighted to open the floor and defend our architecture in Q&amp;A."</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0F9FF"/>
            <w:tcMar>
              <w:top w:w="80" w:type="dxa"/>
              <w:bottom w:w="80" w:type="dxa"/>
              <w:left w:w="160" w:type="dxa"/>
              <w:right w:w="140" w:type="dxa"/>
            </w:tcMar>
            <w:tcBorders>
              <w:top w:val="single" w:sz="4" w:space="0" w:color="E2E8F0"/>
              <w:bottom w:val="single" w:sz="4" w:space="0" w:color="E2E8F0"/>
              <w:left w:val="single" w:sz="24" w:space="0" w:color="0284C7"/>
              <w:right w:val="single" w:sz="4" w:space="0" w:color="E2E8F0"/>
            </w:tcBorders>
          </w:tcPr>
          <w:p>
            <w:pPr>
              <w:spacing w:before="0" w:after="60" w:line="276" w:lineRule="auto"/>
            </w:pPr>
            <w:r>
              <w:rPr>
                <w:sz w:val="20"/>
              </w:rPr>
              <w:t xml:space="preserve">🎯 </w:t>
            </w:r>
            <w:r>
              <w:rPr>
                <w:b/>
                <w:color w:val="0284C7"/>
                <w:sz w:val="19"/>
              </w:rPr>
              <w:t>EXAMINER AUDIT &amp; PRT631 RUBRIC CHECKPOINT</w:t>
            </w:r>
          </w:p>
          <w:p>
            <w:pPr>
              <w:spacing w:before="40" w:after="60" w:line="276" w:lineRule="auto"/>
            </w:pPr>
            <w:r>
              <w:rPr>
                <w:color w:val="1E293B"/>
                <w:sz w:val="18"/>
              </w:rPr>
              <w:t>Provides definitive project closure, quantified financial ROI verification, and full academic syllabus alignment.</w:t>
            </w:r>
          </w:p>
        </w:tc>
      </w:tr>
    </w:tbl>
    <w:p>
      <w:pPr>
        <w:spacing w:before="0" w:after="40"/>
      </w:pPr>
    </w:p>
    <w:p>
      <w:r>
        <w:br w:type="page"/>
      </w:r>
    </w:p>
    <w:p>
      <w:pPr>
        <w:keepNext/>
        <w:spacing w:before="160" w:after="80"/>
      </w:pPr>
      <w:r>
        <w:rPr>
          <w:b/>
          <w:color w:val="1A476F"/>
          <w:sz w:val="28"/>
        </w:rPr>
        <w:t>SECTION 3: MASTER EXAMINER DEFENSE Q&amp;A GUIDE (TOP 10 QUESTIONS)</w:t>
      </w:r>
    </w:p>
    <w:p>
      <w:pPr>
        <w:keepNext/>
        <w:spacing w:after="160"/>
      </w:pPr>
      <w:r>
        <w:t>This section prepares the candidate for rigorous questioning by university examiners, industry moderators, and technical reviewers. Each response is formulated using the PREP framework (Point, Reason, Evidence, Point) to deliver authoritative, technically defensible, and high-scoring answers.</w:t>
      </w: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DF4FF"/>
            <w:tcMar>
              <w:top w:w="80" w:type="dxa"/>
              <w:bottom w:w="80" w:type="dxa"/>
              <w:left w:w="160" w:type="dxa"/>
              <w:right w:w="140" w:type="dxa"/>
            </w:tcMar>
            <w:tcBorders>
              <w:top w:val="single" w:sz="4" w:space="0" w:color="E2E8F0"/>
              <w:bottom w:val="single" w:sz="4" w:space="0" w:color="E2E8F0"/>
              <w:left w:val="single" w:sz="24" w:space="0" w:color="6D28D9"/>
              <w:right w:val="single" w:sz="4" w:space="0" w:color="E2E8F0"/>
            </w:tcBorders>
          </w:tcPr>
          <w:p>
            <w:pPr>
              <w:spacing w:before="0" w:after="60" w:line="276" w:lineRule="auto"/>
            </w:pPr>
            <w:r>
              <w:rPr>
                <w:sz w:val="20"/>
              </w:rPr>
              <w:t xml:space="preserve">🎓 </w:t>
            </w:r>
            <w:r>
              <w:rPr>
                <w:b/>
                <w:color w:val="6D28D9"/>
                <w:sz w:val="19"/>
              </w:rPr>
              <w:t>Q1 (Telematics Architecture): Why did you choose stateless 15-second REST polling instead of WebSockets or WebRTC for live GPS tracking?</w:t>
            </w:r>
          </w:p>
          <w:p>
            <w:pPr>
              <w:spacing w:before="40" w:after="60" w:line="276" w:lineRule="auto"/>
            </w:pPr>
            <w:r>
              <w:rPr>
                <w:color w:val="1E293B"/>
                <w:sz w:val="18"/>
              </w:rPr>
              <w:t>"That is an important architectural decision, Professor. In typical urban software, WebSockets are preferred for duplex communication. However, on the 1,500km Stuart Highway, vehicles constantly traverse cellular fringe zones where 4G signals degrade to 3G or drop entirely.</w:t>
              <w:br/>
              <w:br/>
              <w:t>If we implemented persistent WebSockets, every tower handoff or fringe dropout would trigger aggressive TCP reconnection storms, exhausting mobile device battery and overwhelming the server with connection renegotiations. By contrast, our stateless 15-second REST polling is lightweight, transmits only 1.2 kilobytes per telemetry payload, and handles network timeouts gracefully without state corruption. If a poll fails, the client simply waits for the next cycle without throwing fatal exceptions."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DF4FF"/>
            <w:tcMar>
              <w:top w:w="80" w:type="dxa"/>
              <w:bottom w:w="80" w:type="dxa"/>
              <w:left w:w="160" w:type="dxa"/>
              <w:right w:w="140" w:type="dxa"/>
            </w:tcMar>
            <w:tcBorders>
              <w:top w:val="single" w:sz="4" w:space="0" w:color="E2E8F0"/>
              <w:bottom w:val="single" w:sz="4" w:space="0" w:color="E2E8F0"/>
              <w:left w:val="single" w:sz="24" w:space="0" w:color="6D28D9"/>
              <w:right w:val="single" w:sz="4" w:space="0" w:color="E2E8F0"/>
            </w:tcBorders>
          </w:tcPr>
          <w:p>
            <w:pPr>
              <w:spacing w:before="0" w:after="60" w:line="276" w:lineRule="auto"/>
            </w:pPr>
            <w:r>
              <w:rPr>
                <w:sz w:val="20"/>
              </w:rPr>
              <w:t xml:space="preserve">🎓 </w:t>
            </w:r>
            <w:r>
              <w:rPr>
                <w:b/>
                <w:color w:val="6D28D9"/>
                <w:sz w:val="19"/>
              </w:rPr>
              <w:t>Q2 (Data Resiliency): How does TrackPoint prevent duplicate deliveries and race conditions when a driver syncs data after an 8-hour dead zone?</w:t>
            </w:r>
          </w:p>
          <w:p>
            <w:pPr>
              <w:spacing w:before="40" w:after="60" w:line="276" w:lineRule="auto"/>
            </w:pPr>
            <w:r>
              <w:rPr>
                <w:color w:val="1E293B"/>
                <w:sz w:val="18"/>
              </w:rPr>
              <w:t>"We solve this through cryptographic idempotency and atomic database transactions. When an e-POD signature is captured at an outback cattle station, the client generates a unique cryptographic UUID key bound to that consignment ID, timestamp, and signature vector.</w:t>
              <w:br/>
              <w:br/>
              <w:t>This payload is stored in browser LocalStorage. When the vehicle reaches a cell tower and the background sync worker flushes the queue, the MongoDB Atlas backend executes an atomic `updateOne` query conditional on the consignment status. If the consignment has already been committed, subsequent retransmissions are recognized as idempotent duplicates and safely discarded. This guarantees zero duplicate invoices and zero race conditions."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DF4FF"/>
            <w:tcMar>
              <w:top w:w="80" w:type="dxa"/>
              <w:bottom w:w="80" w:type="dxa"/>
              <w:left w:w="160" w:type="dxa"/>
              <w:right w:w="140" w:type="dxa"/>
            </w:tcMar>
            <w:tcBorders>
              <w:top w:val="single" w:sz="4" w:space="0" w:color="E2E8F0"/>
              <w:bottom w:val="single" w:sz="4" w:space="0" w:color="E2E8F0"/>
              <w:left w:val="single" w:sz="24" w:space="0" w:color="6D28D9"/>
              <w:right w:val="single" w:sz="4" w:space="0" w:color="E2E8F0"/>
            </w:tcBorders>
          </w:tcPr>
          <w:p>
            <w:pPr>
              <w:spacing w:before="0" w:after="60" w:line="276" w:lineRule="auto"/>
            </w:pPr>
            <w:r>
              <w:rPr>
                <w:sz w:val="20"/>
              </w:rPr>
              <w:t xml:space="preserve">🎓 </w:t>
            </w:r>
            <w:r>
              <w:rPr>
                <w:b/>
                <w:color w:val="6D28D9"/>
                <w:sz w:val="19"/>
              </w:rPr>
              <w:t>Q3 (Legal Transport Compliance): How does TrackPoint enforce Chain of Responsibility (CoR) under the Heavy Vehicle National Law?</w:t>
            </w:r>
          </w:p>
          <w:p>
            <w:pPr>
              <w:spacing w:before="40" w:after="60" w:line="276" w:lineRule="auto"/>
            </w:pPr>
            <w:r>
              <w:rPr>
                <w:color w:val="1E293B"/>
                <w:sz w:val="18"/>
              </w:rPr>
              <w:t>"Under the Heavy Vehicle National Law, liability extends beyond the driver to dispatchers and executive management if unsafe schedules or overloaded vehicles are dispatched. TrackPoint enforces CoR in three concrete ways:</w:t>
              <w:br/>
              <w:br/>
              <w:t>First, our dispatch engine calculates consignment mass against vehicle Gross Combination Mass (GCM) limits, mathematically blocking any overload allocation.</w:t>
              <w:br/>
              <w:t>Second, the in-cab driver console integrates an automated NHVR rest-break timer, tracking continuous driving hours and enforcing mandatory rest pauses.</w:t>
              <w:br/>
              <w:t>And third, if a dispatcher manually reassigns a driver, the system requires selecting an auditable compliance reason code—creating an immutable legal audit log that protects NorthLine during National Heavy Vehicle Regulator audits."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DF4FF"/>
            <w:tcMar>
              <w:top w:w="80" w:type="dxa"/>
              <w:bottom w:w="80" w:type="dxa"/>
              <w:left w:w="160" w:type="dxa"/>
              <w:right w:w="140" w:type="dxa"/>
            </w:tcMar>
            <w:tcBorders>
              <w:top w:val="single" w:sz="4" w:space="0" w:color="E2E8F0"/>
              <w:bottom w:val="single" w:sz="4" w:space="0" w:color="E2E8F0"/>
              <w:left w:val="single" w:sz="24" w:space="0" w:color="6D28D9"/>
              <w:right w:val="single" w:sz="4" w:space="0" w:color="E2E8F0"/>
            </w:tcBorders>
          </w:tcPr>
          <w:p>
            <w:pPr>
              <w:spacing w:before="0" w:after="60" w:line="276" w:lineRule="auto"/>
            </w:pPr>
            <w:r>
              <w:rPr>
                <w:sz w:val="20"/>
              </w:rPr>
              <w:t xml:space="preserve">🎓 </w:t>
            </w:r>
            <w:r>
              <w:rPr>
                <w:b/>
                <w:color w:val="6D28D9"/>
                <w:sz w:val="19"/>
              </w:rPr>
              <w:t>Q4 (Enterprise Modeling): How does your TOGAF 4-Layer blueprint translate to the actual physical code repository?</w:t>
            </w:r>
          </w:p>
          <w:p>
            <w:pPr>
              <w:spacing w:before="40" w:after="60" w:line="276" w:lineRule="auto"/>
            </w:pPr>
            <w:r>
              <w:rPr>
                <w:color w:val="1E293B"/>
                <w:sz w:val="18"/>
              </w:rPr>
              <w:t>"Every layer of our TOGAF blueprint maps 1-to-1 with our codebase structure:</w:t>
              <w:br/>
              <w:br/>
              <w:t>The Business Layer is codified in our dispatch business rules and tariff calculation matrices under `src/lib/dispatch-engine.ts`.</w:t>
              <w:br/>
              <w:t>The Application Layer is implemented via Next.js 15 App Router serverless endpoints under `src/app/api/` and role-based middleware guards in `src/middleware.ts`.</w:t>
              <w:br/>
              <w:t>The Data Layer is defined through our strict Prisma schema in `prisma/schema.prisma` and MongoDB Atlas spatial collections.</w:t>
              <w:br/>
              <w:t>And the Technology Layer is represented by our Vercel edge deployment configuration, Leaflet GIS vector layers, and browser LocalStorage queue handlers in `src/lib/offline-queue.ts`."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DF4FF"/>
            <w:tcMar>
              <w:top w:w="80" w:type="dxa"/>
              <w:bottom w:w="80" w:type="dxa"/>
              <w:left w:w="160" w:type="dxa"/>
              <w:right w:w="140" w:type="dxa"/>
            </w:tcMar>
            <w:tcBorders>
              <w:top w:val="single" w:sz="4" w:space="0" w:color="E2E8F0"/>
              <w:bottom w:val="single" w:sz="4" w:space="0" w:color="E2E8F0"/>
              <w:left w:val="single" w:sz="24" w:space="0" w:color="6D28D9"/>
              <w:right w:val="single" w:sz="4" w:space="0" w:color="E2E8F0"/>
            </w:tcBorders>
          </w:tcPr>
          <w:p>
            <w:pPr>
              <w:spacing w:before="0" w:after="60" w:line="276" w:lineRule="auto"/>
            </w:pPr>
            <w:r>
              <w:rPr>
                <w:sz w:val="20"/>
              </w:rPr>
              <w:t xml:space="preserve">🎓 </w:t>
            </w:r>
            <w:r>
              <w:rPr>
                <w:b/>
                <w:color w:val="6D28D9"/>
                <w:sz w:val="19"/>
              </w:rPr>
              <w:t>Q5 (Security &amp; Privacy): How does TrackPoint comply with the Australian Privacy Principles (APP 1988) regarding driver tracking?</w:t>
            </w:r>
          </w:p>
          <w:p>
            <w:pPr>
              <w:spacing w:before="40" w:after="60" w:line="276" w:lineRule="auto"/>
            </w:pPr>
            <w:r>
              <w:rPr>
                <w:color w:val="1E293B"/>
                <w:sz w:val="18"/>
              </w:rPr>
              <w:t>"Under Australian Privacy Principle 11, organizations must take reasonable steps to protect personal information from misuse and unauthorized access. Driver telematics constitutes sensitive employee personal data.</w:t>
              <w:br/>
              <w:br/>
              <w:t>TrackPoint secures this by enforcing strict Role-Based Access Control: enterprise customers can only see aggregated road train positions along the highway corridor, without access to driver personal phone numbers, shift rosters, or cabin notes. Driver location telemetry is encrypted at rest using AES-256 in MongoDB Atlas and transmitted exclusively over TLS 1.3 encrypted connections. Furthermore, driver telematics tracking is automatically paused when the driver logs off duty at a depot."</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DF4FF"/>
            <w:tcMar>
              <w:top w:w="80" w:type="dxa"/>
              <w:bottom w:w="80" w:type="dxa"/>
              <w:left w:w="160" w:type="dxa"/>
              <w:right w:w="140" w:type="dxa"/>
            </w:tcMar>
            <w:tcBorders>
              <w:top w:val="single" w:sz="4" w:space="0" w:color="E2E8F0"/>
              <w:bottom w:val="single" w:sz="4" w:space="0" w:color="E2E8F0"/>
              <w:left w:val="single" w:sz="24" w:space="0" w:color="6D28D9"/>
              <w:right w:val="single" w:sz="4" w:space="0" w:color="E2E8F0"/>
            </w:tcBorders>
          </w:tcPr>
          <w:p>
            <w:pPr>
              <w:spacing w:before="0" w:after="60" w:line="276" w:lineRule="auto"/>
            </w:pPr>
            <w:r>
              <w:rPr>
                <w:sz w:val="20"/>
              </w:rPr>
              <w:t xml:space="preserve">🎓 </w:t>
            </w:r>
            <w:r>
              <w:rPr>
                <w:b/>
                <w:color w:val="6D28D9"/>
                <w:sz w:val="19"/>
              </w:rPr>
              <w:t>Q6 (Operational Risk Management): What prevents a driver from marking a delivery 'Complete' while driving 100 km/h on the highway?</w:t>
            </w:r>
          </w:p>
          <w:p>
            <w:pPr>
              <w:spacing w:before="40" w:after="60" w:line="276" w:lineRule="auto"/>
            </w:pPr>
            <w:r>
              <w:rPr>
                <w:color w:val="1E293B"/>
                <w:sz w:val="18"/>
              </w:rPr>
              <w:t>"This was one of the most critical design requirements requested by NorthLine dock managers. In TrackPoint, the driver handset explicitly blocks the delivery sign-off screen while the vehicle is in transit.</w:t>
              <w:br/>
              <w:br/>
              <w:t>First, the vehicle status must transition to 'Arrived'—which occurs when geofencing confirms depot arrival and speed registers 0 km/h.</w:t>
              <w:br/>
              <w:t>Second, the delivery sign-off screen is gated behind our Receiving Dock Quality Control modal (`/qc?modal=1`). Receiving supervisor Marcus Vance must physically inspect the container bolt seal, verify reefer temperature at +4°C, and sign off on cargo integrity.</w:t>
              <w:br/>
              <w:t>Only when QC certification is submitted does the system unlock the e-POD signature canvas. A driver physically cannot bypass this gate while on the highway."</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DF4FF"/>
            <w:tcMar>
              <w:top w:w="80" w:type="dxa"/>
              <w:bottom w:w="80" w:type="dxa"/>
              <w:left w:w="160" w:type="dxa"/>
              <w:right w:w="140" w:type="dxa"/>
            </w:tcMar>
            <w:tcBorders>
              <w:top w:val="single" w:sz="4" w:space="0" w:color="E2E8F0"/>
              <w:bottom w:val="single" w:sz="4" w:space="0" w:color="E2E8F0"/>
              <w:left w:val="single" w:sz="24" w:space="0" w:color="6D28D9"/>
              <w:right w:val="single" w:sz="4" w:space="0" w:color="E2E8F0"/>
            </w:tcBorders>
          </w:tcPr>
          <w:p>
            <w:pPr>
              <w:spacing w:before="0" w:after="60" w:line="276" w:lineRule="auto"/>
            </w:pPr>
            <w:r>
              <w:rPr>
                <w:sz w:val="20"/>
              </w:rPr>
              <w:t xml:space="preserve">🎓 </w:t>
            </w:r>
            <w:r>
              <w:rPr>
                <w:b/>
                <w:color w:val="6D28D9"/>
                <w:sz w:val="19"/>
              </w:rPr>
              <w:t>Q7 (Statutory Tax Compliance): How does the automated invoice satisfy Australian Taxation Office (ATO) requirements?</w:t>
            </w:r>
          </w:p>
          <w:p>
            <w:pPr>
              <w:spacing w:before="40" w:after="60" w:line="276" w:lineRule="auto"/>
            </w:pPr>
            <w:r>
              <w:rPr>
                <w:color w:val="1E293B"/>
                <w:sz w:val="18"/>
              </w:rPr>
              <w:t>"Under ATO Ruling GSTR 2013/1, a valid Australian Tax Invoice must fulfill specific statutory requirements: it must clearly state that it is a Tax Invoice, display the supplier's verified Australian Business Number (ABN), specify the customer's identity, date of issue, a clear description of freight services, and itemize the 10% Goods and Services Tax (GST) payable.</w:t>
              <w:br/>
              <w:br/>
              <w:t>TrackPoint calculates GST dynamically from the pre-tax freight subtotal, embeds the recipient's verified vector signature directly onto the generated PDF document, and archives the record immutably for seven years in compliance with Section 286 of the Corporations Act 2001."</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DF4FF"/>
            <w:tcMar>
              <w:top w:w="80" w:type="dxa"/>
              <w:bottom w:w="80" w:type="dxa"/>
              <w:left w:w="160" w:type="dxa"/>
              <w:right w:w="140" w:type="dxa"/>
            </w:tcMar>
            <w:tcBorders>
              <w:top w:val="single" w:sz="4" w:space="0" w:color="E2E8F0"/>
              <w:bottom w:val="single" w:sz="4" w:space="0" w:color="E2E8F0"/>
              <w:left w:val="single" w:sz="24" w:space="0" w:color="6D28D9"/>
              <w:right w:val="single" w:sz="4" w:space="0" w:color="E2E8F0"/>
            </w:tcBorders>
          </w:tcPr>
          <w:p>
            <w:pPr>
              <w:spacing w:before="0" w:after="60" w:line="276" w:lineRule="auto"/>
            </w:pPr>
            <w:r>
              <w:rPr>
                <w:sz w:val="20"/>
              </w:rPr>
              <w:t xml:space="preserve">🎓 </w:t>
            </w:r>
            <w:r>
              <w:rPr>
                <w:b/>
                <w:color w:val="6D28D9"/>
                <w:sz w:val="19"/>
              </w:rPr>
              <w:t>Q8 (Environmental Contingency): What happens when wet-season monsoonal flooding cuts the Stuart Highway at Katherine?</w:t>
            </w:r>
          </w:p>
          <w:p>
            <w:pPr>
              <w:spacing w:before="40" w:after="60" w:line="276" w:lineRule="auto"/>
            </w:pPr>
            <w:r>
              <w:rPr>
                <w:color w:val="1E293B"/>
                <w:sz w:val="18"/>
              </w:rPr>
              <w:t>"The Top End wet season frequently closes the Stuart Highway. TrackPoint handles this through our multi-tiered contingency protocol:</w:t>
              <w:br/>
              <w:br/>
              <w:t>When the Northern Territory Road Report issues a flood closure alert, dispatchers log an official service exception code in the system. The platform automatically adjusts customer delivery ETAs and notifies clients of the weather delay.</w:t>
              <w:br/>
              <w:t>Simultaneously, the system calculates alternate route kilometers via the Barkly Highway or initiates our pre-configured intermodal transfer protocol—re-routing freight containers to the Adelaide-to-Darwin rail line at the Alice Springs terminal, ensuring supply chain continuity for essential groceries and mining supplies."</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DF4FF"/>
            <w:tcMar>
              <w:top w:w="80" w:type="dxa"/>
              <w:bottom w:w="80" w:type="dxa"/>
              <w:left w:w="160" w:type="dxa"/>
              <w:right w:w="140" w:type="dxa"/>
            </w:tcMar>
            <w:tcBorders>
              <w:top w:val="single" w:sz="4" w:space="0" w:color="E2E8F0"/>
              <w:bottom w:val="single" w:sz="4" w:space="0" w:color="E2E8F0"/>
              <w:left w:val="single" w:sz="24" w:space="0" w:color="6D28D9"/>
              <w:right w:val="single" w:sz="4" w:space="0" w:color="E2E8F0"/>
            </w:tcBorders>
          </w:tcPr>
          <w:p>
            <w:pPr>
              <w:spacing w:before="0" w:after="60" w:line="276" w:lineRule="auto"/>
            </w:pPr>
            <w:r>
              <w:rPr>
                <w:sz w:val="20"/>
              </w:rPr>
              <w:t xml:space="preserve">🎓 </w:t>
            </w:r>
            <w:r>
              <w:rPr>
                <w:b/>
                <w:color w:val="6D28D9"/>
                <w:sz w:val="19"/>
              </w:rPr>
              <w:t>Q9 (Software Build vs. Buy): Why develop a custom platform rather than purchasing off-the-shelf software like SAP Transportation Management?</w:t>
            </w:r>
          </w:p>
          <w:p>
            <w:pPr>
              <w:spacing w:before="40" w:after="60" w:line="276" w:lineRule="auto"/>
            </w:pPr>
            <w:r>
              <w:rPr>
                <w:color w:val="1E293B"/>
                <w:sz w:val="18"/>
              </w:rPr>
              <w:t>"Commercial off-the-shelf platforms like SAP TM or Oracle Transportation Management carry enterprise licensing costs exceeding $250,000 annually, require massive consulting overhead, and are engineered for European and North American highway networks with ubiquitous 5G coverage.</w:t>
              <w:br/>
              <w:br/>
              <w:t>They fail in the Australian outback because their client software requires continuous cloud connectivity and lacks specialized support for multi-combination road trains (triple trailers up to 53.5 meters). By building TrackPoint with modern open-source foundations—Next.js 15, Prisma, and Leaflet—we delivered a tailored, zero-license-fee platform with offline-first outback resilience at a fraction of commercial cost."</w:t>
            </w:r>
          </w:p>
        </w:tc>
      </w:tr>
    </w:tbl>
    <w:p>
      <w:pPr>
        <w:spacing w:before="0" w:after="40"/>
      </w:pPr>
    </w:p>
    <w:tbl>
      <w:tblPr>
        <w:tblW w:type="auto" w:w="0"/>
        <w:jc w:val="center"/>
        <w:tblLayout w:type="fixed"/>
        <w:tblLook w:firstColumn="1" w:firstRow="1" w:lastColumn="0" w:lastRow="0" w:noHBand="0" w:noVBand="1" w:val="04A0"/>
      </w:tblPr>
      <w:tblGrid>
        <w:gridCol w:w="9792"/>
      </w:tblGrid>
      <w:tr>
        <w:trPr>
          <w:cantSplit/>
        </w:trPr>
        <w:tc>
          <w:tcPr>
            <w:tcW w:type="dxa" w:w="9792"/>
            <w:shd w:val="clear" w:color="auto" w:fill="FDF4FF"/>
            <w:tcMar>
              <w:top w:w="80" w:type="dxa"/>
              <w:bottom w:w="80" w:type="dxa"/>
              <w:left w:w="160" w:type="dxa"/>
              <w:right w:w="140" w:type="dxa"/>
            </w:tcMar>
            <w:tcBorders>
              <w:top w:val="single" w:sz="4" w:space="0" w:color="E2E8F0"/>
              <w:bottom w:val="single" w:sz="4" w:space="0" w:color="E2E8F0"/>
              <w:left w:val="single" w:sz="24" w:space="0" w:color="6D28D9"/>
              <w:right w:val="single" w:sz="4" w:space="0" w:color="E2E8F0"/>
            </w:tcBorders>
          </w:tcPr>
          <w:p>
            <w:pPr>
              <w:spacing w:before="0" w:after="60" w:line="276" w:lineRule="auto"/>
            </w:pPr>
            <w:r>
              <w:rPr>
                <w:sz w:val="20"/>
              </w:rPr>
              <w:t xml:space="preserve">🎓 </w:t>
            </w:r>
            <w:r>
              <w:rPr>
                <w:b/>
                <w:color w:val="6D28D9"/>
                <w:sz w:val="19"/>
              </w:rPr>
              <w:t>Q10 (Financial Substantiation): How is the $205,000 net annual savings and 2.4-year payback period calculated?</w:t>
            </w:r>
          </w:p>
          <w:p>
            <w:pPr>
              <w:spacing w:before="40" w:after="60" w:line="276" w:lineRule="auto"/>
            </w:pPr>
            <w:r>
              <w:rPr>
                <w:color w:val="1E293B"/>
                <w:sz w:val="18"/>
              </w:rPr>
              <w:t>"The financial return is substantiated across three primary cost reduction categories:</w:t>
              <w:br/>
              <w:br/>
              <w:t>First, Dispatch Labor Efficiency: Reducing dispatch allocation time from 45 minutes to 4.2 seconds saves an estimated 400 hours of dispatcher administrative overtime annually, worth $32,000.</w:t>
              <w:br/>
              <w:t>Second, Elimination of Lost Paper Dockets and Claims: Preventing lost, damaged, or disputed delivery dockets eliminates an average of $85,000 in uncollectable freight claims and billing write-offs annually.</w:t>
              <w:br/>
              <w:t>Third, Working Capital Acceleration: Collapsing the billing cycle from 14 days to instant unlocks over $400,000 in trapped working capital, reducing corporate overdraft interest expenses by $28,000 annually.</w:t>
              <w:br/>
              <w:t>Combined with billing administrative labor savings, total gross savings reach $235,000. Subtracting $30,000 in cloud hosting and maintenance yields $205,000 in net annual recurring savings, fully amortizing our $80,000 total implementation investment in 2.4 years."</w:t>
            </w:r>
          </w:p>
        </w:tc>
      </w:tr>
    </w:tbl>
    <w:p>
      <w:pPr>
        <w:spacing w:before="0" w:after="40"/>
      </w:pPr>
    </w:p>
    <w:p>
      <w:r>
        <w:br w:type="page"/>
      </w:r>
    </w:p>
    <w:p>
      <w:pPr>
        <w:keepNext/>
        <w:spacing w:before="160" w:after="80"/>
      </w:pPr>
      <w:r>
        <w:rPr>
          <w:b/>
          <w:color w:val="1A476F"/>
          <w:sz w:val="28"/>
        </w:rPr>
        <w:t>SECTION 4: PRESENTATION DAY CHECKLIST &amp; CONTINGENCY PROTOCOL</w:t>
      </w:r>
    </w:p>
    <w:tbl>
      <w:tblPr>
        <w:tblW w:type="auto" w:w="0"/>
        <w:jc w:val="center"/>
        <w:tblLayout w:type="fixed"/>
        <w:tblLook w:firstColumn="1" w:firstRow="1" w:lastColumn="0" w:lastRow="0" w:noHBand="0" w:noVBand="1" w:val="04A0"/>
      </w:tblPr>
      <w:tblGrid>
        <w:gridCol w:w="3264"/>
        <w:gridCol w:w="3264"/>
        <w:gridCol w:w="3264"/>
      </w:tblGrid>
      <w:tr>
        <w:trPr>
          <w:cantSplit/>
          <w:tblHeader/>
        </w:trPr>
        <w:tc>
          <w:tcPr>
            <w:tcW w:type="dxa" w:w="3264"/>
            <w:vAlign w:val="center"/>
            <w:tcMar>
              <w:top w:w="70" w:type="dxa"/>
              <w:bottom w:w="70" w:type="dxa"/>
              <w:left w:w="120" w:type="dxa"/>
              <w:right w:w="120" w:type="dxa"/>
            </w:tcMar>
            <w:shd w:val="clear" w:color="auto" w:fill="1A476F"/>
            <w:tcBorders>
              <w:top w:val="single" w:sz="4" w:space="0" w:color="1A476F"/>
              <w:bottom w:val="single" w:sz="12" w:space="0" w:color="0F2841"/>
              <w:left w:val="none"/>
              <w:right w:val="none"/>
            </w:tcBorders>
          </w:tcPr>
          <w:p>
            <w:pPr>
              <w:jc w:val="left"/>
            </w:pPr>
            <w:r>
              <w:rPr>
                <w:b/>
                <w:color w:val="FFFFFF"/>
                <w:sz w:val="17"/>
              </w:rPr>
              <w:t>Preparation Domain</w:t>
            </w:r>
          </w:p>
        </w:tc>
        <w:tc>
          <w:tcPr>
            <w:tcW w:type="dxa" w:w="3264"/>
            <w:vAlign w:val="center"/>
            <w:tcMar>
              <w:top w:w="70" w:type="dxa"/>
              <w:bottom w:w="70" w:type="dxa"/>
              <w:left w:w="120" w:type="dxa"/>
              <w:right w:w="120" w:type="dxa"/>
            </w:tcMar>
            <w:shd w:val="clear" w:color="auto" w:fill="1A476F"/>
            <w:tcBorders>
              <w:top w:val="single" w:sz="4" w:space="0" w:color="1A476F"/>
              <w:bottom w:val="single" w:sz="12" w:space="0" w:color="0F2841"/>
              <w:left w:val="none"/>
              <w:right w:val="none"/>
            </w:tcBorders>
          </w:tcPr>
          <w:p>
            <w:pPr>
              <w:jc w:val="left"/>
            </w:pPr>
            <w:r>
              <w:rPr>
                <w:b/>
                <w:color w:val="FFFFFF"/>
                <w:sz w:val="17"/>
              </w:rPr>
              <w:t>Action Item &amp; Protocol</w:t>
            </w:r>
          </w:p>
        </w:tc>
        <w:tc>
          <w:tcPr>
            <w:tcW w:type="dxa" w:w="3264"/>
            <w:vAlign w:val="center"/>
            <w:tcMar>
              <w:top w:w="70" w:type="dxa"/>
              <w:bottom w:w="70" w:type="dxa"/>
              <w:left w:w="120" w:type="dxa"/>
              <w:right w:w="120" w:type="dxa"/>
            </w:tcMar>
            <w:shd w:val="clear" w:color="auto" w:fill="1A476F"/>
            <w:tcBorders>
              <w:top w:val="single" w:sz="4" w:space="0" w:color="1A476F"/>
              <w:bottom w:val="single" w:sz="12" w:space="0" w:color="0F2841"/>
              <w:left w:val="none"/>
              <w:right w:val="none"/>
            </w:tcBorders>
          </w:tcPr>
          <w:p>
            <w:pPr>
              <w:jc w:val="left"/>
            </w:pPr>
            <w:r>
              <w:rPr>
                <w:b/>
                <w:color w:val="FFFFFF"/>
                <w:sz w:val="17"/>
              </w:rPr>
              <w:t>Verification Status</w:t>
            </w:r>
          </w:p>
        </w:tc>
      </w:tr>
      <w:tr>
        <w:trPr>
          <w:cantSplit/>
        </w:trPr>
        <w:tc>
          <w:tcPr>
            <w:tcW w:type="dxa" w:w="3264"/>
            <w:vAlign w:val="center"/>
            <w:tcMar>
              <w:top w:w="70" w:type="dxa"/>
              <w:bottom w:w="70" w:type="dxa"/>
              <w:left w:w="120" w:type="dxa"/>
              <w:right w:w="12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Browser Setup</w:t>
            </w:r>
          </w:p>
        </w:tc>
        <w:tc>
          <w:tcPr>
            <w:tcW w:type="dxa" w:w="3264"/>
            <w:vAlign w:val="center"/>
            <w:tcMar>
              <w:top w:w="70" w:type="dxa"/>
              <w:bottom w:w="70" w:type="dxa"/>
              <w:left w:w="120" w:type="dxa"/>
              <w:right w:w="12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Pre-load 5 Chrome tabs: /customer, /admin/dispatch, /admin/fleet, /qc?modal=1, /admin/invoices</w:t>
            </w:r>
          </w:p>
        </w:tc>
        <w:tc>
          <w:tcPr>
            <w:tcW w:type="dxa" w:w="3264"/>
            <w:vAlign w:val="center"/>
            <w:tcMar>
              <w:top w:w="70" w:type="dxa"/>
              <w:bottom w:w="70" w:type="dxa"/>
              <w:left w:w="120" w:type="dxa"/>
              <w:right w:w="12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Verified (Zero loading lag during transition)</w:t>
            </w:r>
          </w:p>
        </w:tc>
      </w:tr>
      <w:tr>
        <w:trPr>
          <w:cantSplit/>
        </w:trPr>
        <w:tc>
          <w:tcPr>
            <w:tcW w:type="dxa" w:w="3264"/>
            <w:vAlign w:val="center"/>
            <w:tcMar>
              <w:top w:w="70" w:type="dxa"/>
              <w:bottom w:w="70" w:type="dxa"/>
              <w:left w:w="120" w:type="dxa"/>
              <w:right w:w="12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Local Fallback</w:t>
            </w:r>
          </w:p>
        </w:tc>
        <w:tc>
          <w:tcPr>
            <w:tcW w:type="dxa" w:w="3264"/>
            <w:vAlign w:val="center"/>
            <w:tcMar>
              <w:top w:w="70" w:type="dxa"/>
              <w:bottom w:w="70" w:type="dxa"/>
              <w:left w:w="120" w:type="dxa"/>
              <w:right w:w="12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Keep local Next.js dev server running on port 3000 (http://localhost:3000)</w:t>
            </w:r>
          </w:p>
        </w:tc>
        <w:tc>
          <w:tcPr>
            <w:tcW w:type="dxa" w:w="3264"/>
            <w:vAlign w:val="center"/>
            <w:tcMar>
              <w:top w:w="70" w:type="dxa"/>
              <w:bottom w:w="70" w:type="dxa"/>
              <w:left w:w="120" w:type="dxa"/>
              <w:right w:w="12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Verified (Immediate fallback if campus Wi-Fi drops)</w:t>
            </w:r>
          </w:p>
        </w:tc>
      </w:tr>
      <w:tr>
        <w:trPr>
          <w:cantSplit/>
        </w:trPr>
        <w:tc>
          <w:tcPr>
            <w:tcW w:type="dxa" w:w="3264"/>
            <w:vAlign w:val="center"/>
            <w:tcMar>
              <w:top w:w="70" w:type="dxa"/>
              <w:bottom w:w="70" w:type="dxa"/>
              <w:left w:w="120" w:type="dxa"/>
              <w:right w:w="12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Display Calibration</w:t>
            </w:r>
          </w:p>
        </w:tc>
        <w:tc>
          <w:tcPr>
            <w:tcW w:type="dxa" w:w="3264"/>
            <w:vAlign w:val="center"/>
            <w:tcMar>
              <w:top w:w="70" w:type="dxa"/>
              <w:bottom w:w="70" w:type="dxa"/>
              <w:left w:w="120" w:type="dxa"/>
              <w:right w:w="12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Set browser zoom to 90% at 1080p resolution to maximize dashboard visibility</w:t>
            </w:r>
          </w:p>
        </w:tc>
        <w:tc>
          <w:tcPr>
            <w:tcW w:type="dxa" w:w="3264"/>
            <w:vAlign w:val="center"/>
            <w:tcMar>
              <w:top w:w="70" w:type="dxa"/>
              <w:bottom w:w="70" w:type="dxa"/>
              <w:left w:w="120" w:type="dxa"/>
              <w:right w:w="12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Verified (Zero horizontal scrolling required)</w:t>
            </w:r>
          </w:p>
        </w:tc>
      </w:tr>
      <w:tr>
        <w:trPr>
          <w:cantSplit/>
        </w:trPr>
        <w:tc>
          <w:tcPr>
            <w:tcW w:type="dxa" w:w="3264"/>
            <w:vAlign w:val="center"/>
            <w:tcMar>
              <w:top w:w="70" w:type="dxa"/>
              <w:bottom w:w="70" w:type="dxa"/>
              <w:left w:w="120" w:type="dxa"/>
              <w:right w:w="12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Slide Deck Backup</w:t>
            </w:r>
          </w:p>
        </w:tc>
        <w:tc>
          <w:tcPr>
            <w:tcW w:type="dxa" w:w="3264"/>
            <w:vAlign w:val="center"/>
            <w:tcMar>
              <w:top w:w="70" w:type="dxa"/>
              <w:bottom w:w="70" w:type="dxa"/>
              <w:left w:w="120" w:type="dxa"/>
              <w:right w:w="12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Ensure TrackPoint_Final_Presentation.pdf is open in background PDF reader</w:t>
            </w:r>
          </w:p>
        </w:tc>
        <w:tc>
          <w:tcPr>
            <w:tcW w:type="dxa" w:w="3264"/>
            <w:vAlign w:val="center"/>
            <w:tcMar>
              <w:top w:w="70" w:type="dxa"/>
              <w:bottom w:w="70" w:type="dxa"/>
              <w:left w:w="120" w:type="dxa"/>
              <w:right w:w="120" w:type="dxa"/>
            </w:tcMar>
            <w:shd w:val="clear" w:color="auto" w:fill="F8FAFC"/>
            <w:tcBorders>
              <w:top w:val="none" w:sz="4" w:space="0" w:color="CCCCCC"/>
              <w:bottom w:val="single" w:sz="4" w:space="0" w:color="E2E8F0"/>
              <w:left w:val="none" w:sz="4" w:space="0" w:color="CCCCCC"/>
              <w:right w:val="none" w:sz="4" w:space="0" w:color="CCCCCC"/>
            </w:tcBorders>
          </w:tcPr>
          <w:p>
            <w:r>
              <w:rPr>
                <w:color w:val="1E293B"/>
                <w:sz w:val="17"/>
              </w:rPr>
              <w:t>Verified (Instant failover if PowerPoint freezes)</w:t>
            </w:r>
          </w:p>
        </w:tc>
      </w:tr>
      <w:tr>
        <w:trPr>
          <w:cantSplit/>
        </w:trPr>
        <w:tc>
          <w:tcPr>
            <w:tcW w:type="dxa" w:w="3264"/>
            <w:vAlign w:val="center"/>
            <w:tcMar>
              <w:top w:w="70" w:type="dxa"/>
              <w:bottom w:w="70" w:type="dxa"/>
              <w:left w:w="120" w:type="dxa"/>
              <w:right w:w="12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Physical Materials</w:t>
            </w:r>
          </w:p>
        </w:tc>
        <w:tc>
          <w:tcPr>
            <w:tcW w:type="dxa" w:w="3264"/>
            <w:vAlign w:val="center"/>
            <w:tcMar>
              <w:top w:w="70" w:type="dxa"/>
              <w:bottom w:w="70" w:type="dxa"/>
              <w:left w:w="120" w:type="dxa"/>
              <w:right w:w="12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Bring printed copy of this script, student ID card, and presentation clicker</w:t>
            </w:r>
          </w:p>
        </w:tc>
        <w:tc>
          <w:tcPr>
            <w:tcW w:type="dxa" w:w="3264"/>
            <w:vAlign w:val="center"/>
            <w:tcMar>
              <w:top w:w="70" w:type="dxa"/>
              <w:bottom w:w="70" w:type="dxa"/>
              <w:left w:w="120" w:type="dxa"/>
              <w:right w:w="120" w:type="dxa"/>
            </w:tcMar>
            <w:shd w:val="clear" w:color="auto" w:fill="FFFFFF"/>
            <w:tcBorders>
              <w:top w:val="none" w:sz="4" w:space="0" w:color="CCCCCC"/>
              <w:bottom w:val="single" w:sz="4" w:space="0" w:color="E2E8F0"/>
              <w:left w:val="none" w:sz="4" w:space="0" w:color="CCCCCC"/>
              <w:right w:val="none" w:sz="4" w:space="0" w:color="CCCCCC"/>
            </w:tcBorders>
          </w:tcPr>
          <w:p>
            <w:r>
              <w:rPr>
                <w:color w:val="1E293B"/>
                <w:sz w:val="17"/>
              </w:rPr>
              <w:t>Verified (Mahir Sadman Rushad / S395312)</w:t>
            </w:r>
          </w:p>
        </w:tc>
      </w:tr>
    </w:tbl>
    <w:sectPr w:rsidR="00FC693F" w:rsidRPr="0006063C" w:rsidSect="00034616">
      <w:headerReference w:type="default" r:id="rId9"/>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C96A0"/>
        <w:sz w:val="17"/>
      </w:rPr>
      <w:t xml:space="preserve">Charles Darwin University | Master of IT (PRT631) | Mahir Sadman Rushad (S395312) | Page </w:t>
    </w:r>
    <w:fldSimple w:instr="PAGE"/>
    <w:r>
      <w:rPr>
        <w:rFonts w:ascii="Calibri" w:hAnsi="Calibri"/>
        <w:color w:val="8C96A0"/>
        <w:sz w:val="17"/>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C96A0"/>
        <w:sz w:val="17"/>
      </w:rPr>
      <w:t>TrackPoint — Capstone Defense Presentation Script &amp; Delivery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Calibri" w:hAnsi="Calibri"/>
      <w:color w:val="1E29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