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6CFFD52">
      <w:pPr>
        <w:jc w:val="center"/>
        <w:rPr>
          <w:b/>
          <w:bCs/>
        </w:rPr>
      </w:pPr>
      <w:r>
        <w:drawing>
          <wp:inline distT="0" distB="0" distL="0" distR="0">
            <wp:extent cx="1085850" cy="824230"/>
            <wp:effectExtent l="0" t="0" r="0" b="0"/>
            <wp:docPr id="6149842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4984280" name="Picture 1"/>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a:xfrm>
                      <a:off x="0" y="0"/>
                      <a:ext cx="1089462" cy="827356"/>
                    </a:xfrm>
                    <a:prstGeom prst="rect">
                      <a:avLst/>
                    </a:prstGeom>
                    <a:noFill/>
                    <a:ln>
                      <a:noFill/>
                    </a:ln>
                  </pic:spPr>
                </pic:pic>
              </a:graphicData>
            </a:graphic>
          </wp:inline>
        </w:drawing>
      </w:r>
    </w:p>
    <w:p w14:paraId="0FF1982F">
      <w:pPr>
        <w:jc w:val="center"/>
        <w:rPr>
          <w:b/>
          <w:bCs/>
        </w:rPr>
      </w:pPr>
    </w:p>
    <w:p w14:paraId="543616D1">
      <w:pPr>
        <w:jc w:val="center"/>
        <w:rPr>
          <w:b/>
          <w:bCs/>
        </w:rPr>
      </w:pPr>
      <w:r>
        <w:rPr>
          <w:b/>
          <w:bCs/>
        </w:rPr>
        <w:t xml:space="preserve">KALINGA INSTITUTE OF INDUSTRIAL TECHNOLOGY </w:t>
      </w:r>
    </w:p>
    <w:p w14:paraId="3A163C93">
      <w:pPr>
        <w:jc w:val="center"/>
        <w:rPr>
          <w:b/>
          <w:bCs/>
        </w:rPr>
      </w:pPr>
      <w:r>
        <w:rPr>
          <w:b/>
          <w:bCs/>
        </w:rPr>
        <w:t>(KIIT Deemed to be University)</w:t>
      </w:r>
    </w:p>
    <w:p w14:paraId="021E956B">
      <w:pPr>
        <w:jc w:val="center"/>
        <w:rPr>
          <w:b/>
        </w:rPr>
      </w:pPr>
    </w:p>
    <w:p w14:paraId="6A56DE52">
      <w:pPr>
        <w:jc w:val="center"/>
        <w:rPr>
          <w:b/>
          <w:bCs/>
        </w:rPr>
      </w:pPr>
      <w:r>
        <w:rPr>
          <w:b/>
          <w:bCs/>
        </w:rPr>
        <w:t xml:space="preserve">SCHOOL OF MECHANICAL ENGINEERING </w:t>
      </w:r>
    </w:p>
    <w:p w14:paraId="219BCF54">
      <w:pPr>
        <w:jc w:val="center"/>
        <w:rPr>
          <w:b/>
          <w:bCs/>
        </w:rPr>
      </w:pPr>
    </w:p>
    <w:p w14:paraId="716D8455">
      <w:pPr>
        <w:jc w:val="center"/>
        <w:rPr>
          <w:b/>
          <w:bCs/>
          <w:lang w:val="en-US"/>
        </w:rPr>
      </w:pPr>
      <w:r>
        <w:rPr>
          <w:b/>
          <w:bCs/>
        </w:rPr>
        <w:t>SPRING SEMESTER 20</w:t>
      </w:r>
      <w:r>
        <w:rPr>
          <w:b/>
          <w:bCs/>
          <w:lang w:val="en-US"/>
        </w:rPr>
        <w:t>26</w:t>
      </w:r>
    </w:p>
    <w:p w14:paraId="117AA146">
      <w:pPr>
        <w:jc w:val="center"/>
        <w:rPr>
          <w:b/>
        </w:rPr>
      </w:pPr>
    </w:p>
    <w:p w14:paraId="2889BF97">
      <w:pPr>
        <w:jc w:val="center"/>
        <w:rPr>
          <w:b/>
        </w:rPr>
      </w:pPr>
      <w:r>
        <w:rPr>
          <w:b/>
        </w:rPr>
        <w:t>COURSE HANDOUT</w:t>
      </w:r>
    </w:p>
    <w:p w14:paraId="4787D06F">
      <w:pPr>
        <w:jc w:val="right"/>
        <w:rPr>
          <w:b/>
          <w:lang w:val="en-US"/>
        </w:rPr>
      </w:pPr>
      <w:r>
        <w:rPr>
          <w:b/>
        </w:rPr>
        <w:t xml:space="preserve">    Date: </w:t>
      </w:r>
      <w:r>
        <w:rPr>
          <w:rFonts w:hint="default"/>
          <w:b/>
          <w:lang w:val="en-US"/>
        </w:rPr>
        <w:t>9</w:t>
      </w:r>
      <w:r>
        <w:rPr>
          <w:b/>
          <w:vertAlign w:val="superscript"/>
          <w:lang w:val="en-US"/>
        </w:rPr>
        <w:t>th</w:t>
      </w:r>
      <w:r>
        <w:rPr>
          <w:b/>
          <w:lang w:val="en-US"/>
        </w:rPr>
        <w:t xml:space="preserve"> July </w:t>
      </w:r>
      <w:r>
        <w:rPr>
          <w:b/>
        </w:rPr>
        <w:t>20</w:t>
      </w:r>
      <w:r>
        <w:rPr>
          <w:b/>
          <w:lang w:val="en-US"/>
        </w:rPr>
        <w:t>26</w:t>
      </w:r>
    </w:p>
    <w:p w14:paraId="36D0F0D9">
      <w:pPr>
        <w:jc w:val="right"/>
        <w:rPr>
          <w:b/>
          <w:lang w:val="en-US"/>
        </w:rPr>
      </w:pPr>
    </w:p>
    <w:p w14:paraId="4053FE3A">
      <w:pPr>
        <w:jc w:val="both"/>
      </w:pPr>
    </w:p>
    <w:p w14:paraId="714CD0FB">
      <w:pPr>
        <w:numPr>
          <w:ilvl w:val="0"/>
          <w:numId w:val="1"/>
        </w:numPr>
        <w:spacing w:line="360" w:lineRule="auto"/>
        <w:ind w:left="284" w:hanging="284"/>
        <w:jc w:val="both"/>
        <w:rPr>
          <w:b/>
        </w:rPr>
      </w:pPr>
      <w:r>
        <w:rPr>
          <w:b/>
        </w:rPr>
        <w:t>Course Code:   EX40003</w:t>
      </w:r>
    </w:p>
    <w:p w14:paraId="2AFA2C30">
      <w:pPr>
        <w:numPr>
          <w:ilvl w:val="0"/>
          <w:numId w:val="1"/>
        </w:numPr>
        <w:spacing w:line="360" w:lineRule="auto"/>
        <w:ind w:left="284" w:hanging="284"/>
        <w:jc w:val="both"/>
        <w:rPr>
          <w:b/>
        </w:rPr>
      </w:pPr>
      <w:r>
        <w:rPr>
          <w:b/>
        </w:rPr>
        <w:t>Course title: Engineering Professional Practice</w:t>
      </w:r>
    </w:p>
    <w:p w14:paraId="5A7E02C8">
      <w:pPr>
        <w:numPr>
          <w:ilvl w:val="0"/>
          <w:numId w:val="1"/>
        </w:numPr>
        <w:spacing w:line="360" w:lineRule="auto"/>
        <w:ind w:left="284" w:hanging="284"/>
        <w:jc w:val="both"/>
      </w:pPr>
      <w:r>
        <w:rPr>
          <w:b/>
        </w:rPr>
        <w:t xml:space="preserve">L-T-P Structure: </w:t>
      </w:r>
      <w:r>
        <w:rPr>
          <w:lang w:val="en-US"/>
        </w:rPr>
        <w:t>2</w:t>
      </w:r>
      <w:r>
        <w:rPr>
          <w:bCs/>
        </w:rPr>
        <w:t>:0:0</w:t>
      </w:r>
    </w:p>
    <w:p w14:paraId="7F60C664">
      <w:pPr>
        <w:numPr>
          <w:ilvl w:val="0"/>
          <w:numId w:val="1"/>
        </w:numPr>
        <w:spacing w:line="360" w:lineRule="auto"/>
        <w:ind w:left="284" w:hanging="284"/>
        <w:jc w:val="both"/>
        <w:rPr>
          <w:b/>
        </w:rPr>
      </w:pPr>
      <w:r>
        <w:rPr>
          <w:b/>
        </w:rPr>
        <w:t>Course Coordinator:</w:t>
      </w:r>
      <w:r>
        <w:rPr>
          <w:rFonts w:hint="default"/>
          <w:b/>
          <w:lang w:val="en-US"/>
        </w:rPr>
        <w:t>Mr. Pradeep Kandula</w:t>
      </w:r>
    </w:p>
    <w:p w14:paraId="65046086">
      <w:pPr>
        <w:numPr>
          <w:ilvl w:val="0"/>
          <w:numId w:val="1"/>
        </w:numPr>
        <w:ind w:left="284" w:hanging="284"/>
        <w:jc w:val="both"/>
        <w:rPr>
          <w:b/>
        </w:rPr>
      </w:pPr>
      <w:r>
        <w:rPr>
          <w:b/>
        </w:rPr>
        <w:t>Course Objective(s):</w:t>
      </w:r>
    </w:p>
    <w:p w14:paraId="73F7D988">
      <w:pPr>
        <w:jc w:val="both"/>
        <w:rPr>
          <w:b/>
        </w:rPr>
      </w:pPr>
    </w:p>
    <w:p w14:paraId="5787B24D">
      <w:pPr>
        <w:ind w:right="-338"/>
        <w:jc w:val="both"/>
      </w:pPr>
      <w:r>
        <w:t xml:space="preserve">Engineers are expected to perform their tasks responsibly and ethically, following professional standards and guidelines.  This course allows the students to understand the roles and responsibilities of engineers in society, learn professional standards, codes of ethics, issues concerning employment contracts and other legal matters, and skills of working in teams, and to effectively communicate.   </w:t>
      </w:r>
    </w:p>
    <w:p w14:paraId="64B72AAA">
      <w:pPr>
        <w:ind w:right="-338"/>
        <w:jc w:val="both"/>
      </w:pPr>
    </w:p>
    <w:p w14:paraId="0BD019E1">
      <w:pPr>
        <w:jc w:val="both"/>
        <w:rPr>
          <w:b/>
        </w:rPr>
      </w:pPr>
    </w:p>
    <w:p w14:paraId="497D816A">
      <w:pPr>
        <w:numPr>
          <w:ilvl w:val="0"/>
          <w:numId w:val="1"/>
        </w:numPr>
        <w:ind w:left="284" w:hanging="284"/>
        <w:jc w:val="both"/>
        <w:rPr>
          <w:b/>
        </w:rPr>
      </w:pPr>
      <w:r>
        <w:rPr>
          <w:b/>
        </w:rPr>
        <w:t xml:space="preserve">Course (learning) outcomes: </w:t>
      </w:r>
      <w:r>
        <w:t>At the end of the course, the students will be able to:</w:t>
      </w:r>
    </w:p>
    <w:tbl>
      <w:tblPr>
        <w:tblStyle w:val="3"/>
        <w:tblpPr w:leftFromText="180" w:rightFromText="180" w:vertAnchor="text" w:horzAnchor="page" w:tblpX="1983" w:tblpY="130"/>
        <w:tblOverlap w:val="never"/>
        <w:tblW w:w="841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13"/>
        <w:gridCol w:w="7406"/>
      </w:tblGrid>
      <w:tr w14:paraId="47E5B7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86" w:hRule="atLeast"/>
        </w:trPr>
        <w:tc>
          <w:tcPr>
            <w:tcW w:w="1013" w:type="dxa"/>
          </w:tcPr>
          <w:p w14:paraId="6EDA8D95">
            <w:pPr>
              <w:spacing w:line="276" w:lineRule="auto"/>
              <w:jc w:val="center"/>
              <w:rPr>
                <w:b/>
              </w:rPr>
            </w:pPr>
            <w:r>
              <w:rPr>
                <w:b/>
              </w:rPr>
              <w:t>CO1:</w:t>
            </w:r>
          </w:p>
        </w:tc>
        <w:tc>
          <w:tcPr>
            <w:tcW w:w="7406" w:type="dxa"/>
            <w:vAlign w:val="center"/>
          </w:tcPr>
          <w:p w14:paraId="5176714F">
            <w:pPr>
              <w:jc w:val="both"/>
            </w:pPr>
            <w:r>
              <w:t>Know (a) the features of engineering as a profession, (b) the roles and responsibilities of engineers in society, and (c) the skills for working in teams</w:t>
            </w:r>
          </w:p>
        </w:tc>
      </w:tr>
      <w:tr w14:paraId="766C90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8" w:hRule="atLeast"/>
        </w:trPr>
        <w:tc>
          <w:tcPr>
            <w:tcW w:w="1013" w:type="dxa"/>
          </w:tcPr>
          <w:p w14:paraId="52D07260">
            <w:pPr>
              <w:spacing w:line="276" w:lineRule="auto"/>
              <w:jc w:val="center"/>
              <w:rPr>
                <w:b/>
              </w:rPr>
            </w:pPr>
            <w:r>
              <w:rPr>
                <w:b/>
              </w:rPr>
              <w:t>CO2:</w:t>
            </w:r>
          </w:p>
        </w:tc>
        <w:tc>
          <w:tcPr>
            <w:tcW w:w="7406" w:type="dxa"/>
            <w:vAlign w:val="center"/>
          </w:tcPr>
          <w:p w14:paraId="21C0A452">
            <w:pPr>
              <w:jc w:val="both"/>
            </w:pPr>
            <w:r>
              <w:t>Realize the use of professional standards, codes of ethics, legal provisions surrounding engineering functions</w:t>
            </w:r>
          </w:p>
        </w:tc>
      </w:tr>
      <w:tr w14:paraId="37F7FF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5" w:hRule="atLeast"/>
        </w:trPr>
        <w:tc>
          <w:tcPr>
            <w:tcW w:w="1013" w:type="dxa"/>
          </w:tcPr>
          <w:p w14:paraId="3DE8510F">
            <w:pPr>
              <w:spacing w:line="276" w:lineRule="auto"/>
              <w:jc w:val="center"/>
              <w:rPr>
                <w:b/>
              </w:rPr>
            </w:pPr>
            <w:r>
              <w:rPr>
                <w:b/>
              </w:rPr>
              <w:t>CO3:</w:t>
            </w:r>
          </w:p>
        </w:tc>
        <w:tc>
          <w:tcPr>
            <w:tcW w:w="7406" w:type="dxa"/>
            <w:vAlign w:val="center"/>
          </w:tcPr>
          <w:p w14:paraId="147A6EC4">
            <w:pPr>
              <w:spacing w:line="276" w:lineRule="auto"/>
              <w:jc w:val="both"/>
            </w:pPr>
            <w:r>
              <w:t>Apply the above-stated standards, codes, legal provisions, and group communication skills in their decision-making situations</w:t>
            </w:r>
          </w:p>
        </w:tc>
      </w:tr>
      <w:tr w14:paraId="615B8D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7" w:hRule="atLeast"/>
        </w:trPr>
        <w:tc>
          <w:tcPr>
            <w:tcW w:w="1013" w:type="dxa"/>
          </w:tcPr>
          <w:p w14:paraId="4004BD4F">
            <w:pPr>
              <w:spacing w:line="276" w:lineRule="auto"/>
              <w:jc w:val="center"/>
              <w:rPr>
                <w:b/>
              </w:rPr>
            </w:pPr>
            <w:r>
              <w:rPr>
                <w:b/>
              </w:rPr>
              <w:t>CO4:</w:t>
            </w:r>
          </w:p>
        </w:tc>
        <w:tc>
          <w:tcPr>
            <w:tcW w:w="7406" w:type="dxa"/>
            <w:vAlign w:val="center"/>
          </w:tcPr>
          <w:p w14:paraId="10DF4B61">
            <w:pPr>
              <w:jc w:val="both"/>
            </w:pPr>
            <w:r>
              <w:t>Break down a complex problem into smaller manageable tasks</w:t>
            </w:r>
          </w:p>
        </w:tc>
      </w:tr>
      <w:tr w14:paraId="4533ED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0" w:hRule="atLeast"/>
        </w:trPr>
        <w:tc>
          <w:tcPr>
            <w:tcW w:w="1013" w:type="dxa"/>
          </w:tcPr>
          <w:p w14:paraId="10468EE5">
            <w:pPr>
              <w:spacing w:line="276" w:lineRule="auto"/>
              <w:ind w:left="567" w:hanging="567"/>
              <w:jc w:val="center"/>
            </w:pPr>
            <w:r>
              <w:rPr>
                <w:b/>
              </w:rPr>
              <w:t>CO5:</w:t>
            </w:r>
          </w:p>
        </w:tc>
        <w:tc>
          <w:tcPr>
            <w:tcW w:w="7406" w:type="dxa"/>
            <w:vAlign w:val="center"/>
          </w:tcPr>
          <w:p w14:paraId="7DE494F8">
            <w:pPr>
              <w:jc w:val="both"/>
            </w:pPr>
            <w:r>
              <w:t>Compare among alternatives in situations of uncertainty, risk and ambiguity</w:t>
            </w:r>
          </w:p>
        </w:tc>
      </w:tr>
      <w:tr w14:paraId="79DE45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7" w:hRule="atLeast"/>
        </w:trPr>
        <w:tc>
          <w:tcPr>
            <w:tcW w:w="1013" w:type="dxa"/>
          </w:tcPr>
          <w:p w14:paraId="742FCC98">
            <w:pPr>
              <w:spacing w:line="276" w:lineRule="auto"/>
              <w:ind w:left="567" w:hanging="567"/>
              <w:jc w:val="center"/>
              <w:rPr>
                <w:b/>
                <w:lang w:val="en-US"/>
              </w:rPr>
            </w:pPr>
            <w:r>
              <w:rPr>
                <w:b/>
                <w:lang w:val="en-US"/>
              </w:rPr>
              <w:t>CO6:</w:t>
            </w:r>
          </w:p>
        </w:tc>
        <w:tc>
          <w:tcPr>
            <w:tcW w:w="7406" w:type="dxa"/>
            <w:vAlign w:val="center"/>
          </w:tcPr>
          <w:p w14:paraId="68C8C945">
            <w:pPr>
              <w:spacing w:line="276" w:lineRule="auto"/>
              <w:jc w:val="both"/>
              <w:rPr>
                <w:b/>
              </w:rPr>
            </w:pPr>
            <w:r>
              <w:t>Design engineering solutions to industrial environmental and social problems</w:t>
            </w:r>
          </w:p>
        </w:tc>
      </w:tr>
    </w:tbl>
    <w:p w14:paraId="5F113C92">
      <w:pPr>
        <w:jc w:val="both"/>
      </w:pPr>
    </w:p>
    <w:p w14:paraId="40AF323D">
      <w:pPr>
        <w:numPr>
          <w:ilvl w:val="0"/>
          <w:numId w:val="1"/>
        </w:numPr>
        <w:ind w:left="284" w:hanging="284"/>
        <w:jc w:val="both"/>
        <w:rPr>
          <w:b/>
        </w:rPr>
      </w:pPr>
      <w:r>
        <w:rPr>
          <w:b/>
        </w:rPr>
        <w:t>Course Contents</w:t>
      </w:r>
    </w:p>
    <w:p w14:paraId="74A1C255">
      <w:pPr>
        <w:ind w:left="284"/>
        <w:jc w:val="both"/>
        <w:rPr>
          <w:b/>
        </w:rPr>
      </w:pPr>
    </w:p>
    <w:p w14:paraId="4DC0C6C6">
      <w:pPr>
        <w:jc w:val="both"/>
        <w:rPr>
          <w:rFonts w:eastAsia="SimSun"/>
          <w:b/>
          <w:bCs/>
          <w:color w:val="000000"/>
          <w:lang w:val="en-US" w:eastAsia="zh-CN" w:bidi="ar"/>
        </w:rPr>
      </w:pPr>
      <w:r>
        <w:rPr>
          <w:rFonts w:eastAsia="SimSun"/>
          <w:b/>
          <w:bCs/>
          <w:color w:val="000000"/>
          <w:lang w:val="en-US" w:eastAsia="zh-CN" w:bidi="ar"/>
        </w:rPr>
        <w:t>Engineering and Engineer</w:t>
      </w:r>
    </w:p>
    <w:p w14:paraId="1EE7FA5A">
      <w:pPr>
        <w:jc w:val="both"/>
        <w:rPr>
          <w:rFonts w:eastAsia="SimSun"/>
          <w:bCs/>
          <w:color w:val="000000"/>
          <w:lang w:val="en-US" w:eastAsia="zh-CN" w:bidi="ar"/>
        </w:rPr>
      </w:pPr>
      <w:r>
        <w:rPr>
          <w:rFonts w:eastAsia="SimSun"/>
          <w:bCs/>
          <w:color w:val="000000"/>
          <w:lang w:val="en-US" w:eastAsia="zh-CN" w:bidi="ar"/>
        </w:rPr>
        <w:t xml:space="preserve"> Engineering as a discipline and a profession; Attributes and functions of a practicing engineer; and Engineer as a problem solver, designer, and change agent. </w:t>
      </w:r>
    </w:p>
    <w:p w14:paraId="3F17CD3B">
      <w:pPr>
        <w:jc w:val="both"/>
        <w:rPr>
          <w:rFonts w:eastAsia="SimSun"/>
          <w:bCs/>
          <w:color w:val="000000"/>
          <w:lang w:val="en-US" w:eastAsia="zh-CN" w:bidi="ar"/>
        </w:rPr>
      </w:pPr>
    </w:p>
    <w:p w14:paraId="6C696346">
      <w:pPr>
        <w:jc w:val="both"/>
        <w:rPr>
          <w:rFonts w:eastAsia="SimSun"/>
          <w:b/>
          <w:bCs/>
          <w:color w:val="000000"/>
          <w:lang w:val="en-US" w:eastAsia="zh-CN" w:bidi="ar"/>
        </w:rPr>
      </w:pPr>
      <w:r>
        <w:rPr>
          <w:rFonts w:eastAsia="SimSun"/>
          <w:b/>
          <w:bCs/>
          <w:color w:val="000000"/>
          <w:lang w:val="en-US" w:eastAsia="zh-CN" w:bidi="ar"/>
        </w:rPr>
        <w:t>Selected Functions of Engineering</w:t>
      </w:r>
    </w:p>
    <w:p w14:paraId="205E11E0">
      <w:pPr>
        <w:jc w:val="both"/>
        <w:rPr>
          <w:rFonts w:eastAsia="SimSun"/>
          <w:bCs/>
          <w:color w:val="000000"/>
          <w:lang w:val="en-US" w:eastAsia="zh-CN" w:bidi="ar"/>
        </w:rPr>
      </w:pPr>
      <w:r>
        <w:rPr>
          <w:rFonts w:eastAsia="SimSun"/>
          <w:bCs/>
          <w:color w:val="000000"/>
          <w:lang w:val="en-US" w:eastAsia="zh-CN" w:bidi="ar"/>
        </w:rPr>
        <w:t>Designing for safety and reliability; Quality and productivity management; Dealing with problem complexity, uncertainty, risk, and ambiguity; Project management; and Managerial functions such as planning, organizing, motivating, and controlling; Costing and accounting.</w:t>
      </w:r>
    </w:p>
    <w:p w14:paraId="37A1041D">
      <w:pPr>
        <w:jc w:val="both"/>
        <w:rPr>
          <w:rFonts w:eastAsia="SimSun"/>
          <w:bCs/>
          <w:color w:val="000000"/>
          <w:lang w:val="en-US" w:eastAsia="zh-CN" w:bidi="ar"/>
        </w:rPr>
      </w:pPr>
    </w:p>
    <w:p w14:paraId="155EA722">
      <w:pPr>
        <w:jc w:val="both"/>
        <w:rPr>
          <w:rFonts w:eastAsia="SimSun"/>
          <w:b/>
          <w:bCs/>
          <w:color w:val="000000"/>
          <w:lang w:val="en-US" w:eastAsia="zh-CN" w:bidi="ar"/>
        </w:rPr>
      </w:pPr>
      <w:r>
        <w:rPr>
          <w:rFonts w:eastAsia="SimSun"/>
          <w:b/>
          <w:bCs/>
          <w:color w:val="000000"/>
          <w:lang w:val="en-US" w:eastAsia="zh-CN" w:bidi="ar"/>
        </w:rPr>
        <w:t xml:space="preserve">Professional Aspects of Engineering </w:t>
      </w:r>
    </w:p>
    <w:p w14:paraId="3C18B2AF">
      <w:pPr>
        <w:jc w:val="both"/>
        <w:rPr>
          <w:rFonts w:eastAsia="SimSun"/>
          <w:bCs/>
          <w:color w:val="000000"/>
          <w:lang w:val="en-US" w:eastAsia="zh-CN" w:bidi="ar"/>
        </w:rPr>
      </w:pPr>
      <w:r>
        <w:rPr>
          <w:rFonts w:eastAsia="SimSun"/>
          <w:bCs/>
          <w:color w:val="000000"/>
          <w:lang w:val="en-US" w:eastAsia="zh-CN" w:bidi="ar"/>
        </w:rPr>
        <w:t xml:space="preserve">Accreditation, certification, and licensing; Ethical issues: Ethics and morality, ethical dilemmas, codes of ethics, professional conduct, nature and role of professional societies, engineering standards; Legal issues—Legal forms of business organizations, employment contracts, trademarks, patents, copyrights, trade secrets, professional liability, contractual agreements, environment and information technology laws, and international legal framework such as WTO.  </w:t>
      </w:r>
    </w:p>
    <w:p w14:paraId="05E1B12A">
      <w:pPr>
        <w:jc w:val="both"/>
        <w:rPr>
          <w:rFonts w:eastAsia="SimSun"/>
          <w:bCs/>
          <w:color w:val="000000"/>
          <w:lang w:val="en-US" w:eastAsia="zh-CN" w:bidi="ar"/>
        </w:rPr>
      </w:pPr>
    </w:p>
    <w:p w14:paraId="75E1594A">
      <w:pPr>
        <w:jc w:val="both"/>
        <w:rPr>
          <w:b/>
        </w:rPr>
      </w:pPr>
      <w:r>
        <w:rPr>
          <w:b/>
        </w:rPr>
        <w:t xml:space="preserve">Group Dynamics </w:t>
      </w:r>
    </w:p>
    <w:p w14:paraId="73F78D53">
      <w:pPr>
        <w:jc w:val="both"/>
      </w:pPr>
      <w:r>
        <w:t>Individual cognition; Dynamics of working in teams/groups; Interacting with stakeholders; Dealing with multicultural environments; Team and group communication; and Negotiation and conflict resolution.</w:t>
      </w:r>
    </w:p>
    <w:p w14:paraId="118AD8F0">
      <w:pPr>
        <w:jc w:val="both"/>
        <w:rPr>
          <w:rFonts w:eastAsia="SimSun"/>
          <w:bCs/>
          <w:color w:val="000000"/>
          <w:lang w:val="en-US" w:eastAsia="zh-CN" w:bidi="ar"/>
        </w:rPr>
      </w:pPr>
    </w:p>
    <w:p w14:paraId="32434320">
      <w:pPr>
        <w:jc w:val="both"/>
        <w:rPr>
          <w:rFonts w:eastAsia="SimSun"/>
          <w:bCs/>
          <w:color w:val="000000"/>
          <w:lang w:val="en-US" w:eastAsia="zh-CN" w:bidi="ar"/>
        </w:rPr>
      </w:pPr>
    </w:p>
    <w:p w14:paraId="6A736B57">
      <w:pPr>
        <w:jc w:val="both"/>
        <w:rPr>
          <w:b/>
        </w:rPr>
      </w:pPr>
      <w:r>
        <w:rPr>
          <w:b/>
        </w:rPr>
        <w:t>9. Text Book:</w:t>
      </w:r>
    </w:p>
    <w:p w14:paraId="3A295E85">
      <w:pPr>
        <w:jc w:val="both"/>
        <w:rPr>
          <w:b/>
        </w:rPr>
      </w:pPr>
    </w:p>
    <w:p w14:paraId="2DB230E8">
      <w:pPr>
        <w:jc w:val="both"/>
      </w:pPr>
      <w:r>
        <w:t>Shrestha, R. K. and Shrestha, S. K., Textbook of Engineering Professional Practice, 3rd Edition, Heritage Publishers and Distributors Pvt. Ltd, 2020.</w:t>
      </w:r>
    </w:p>
    <w:p w14:paraId="57E792C1">
      <w:pPr>
        <w:jc w:val="both"/>
      </w:pPr>
    </w:p>
    <w:p w14:paraId="18B2D8BC">
      <w:pPr>
        <w:jc w:val="both"/>
      </w:pPr>
    </w:p>
    <w:p w14:paraId="6815FAD9">
      <w:pPr>
        <w:jc w:val="both"/>
      </w:pPr>
      <w:r>
        <w:rPr>
          <w:b/>
        </w:rPr>
        <w:t>Reference Books</w:t>
      </w:r>
    </w:p>
    <w:p w14:paraId="76FA15FD">
      <w:pPr>
        <w:jc w:val="both"/>
      </w:pPr>
      <w:r>
        <w:t xml:space="preserve">1. Habash, R. Professional Practice in Engineering and Computing: Preparing for Future Careers, 1st Edition, Boca Raton: CRC Press, 2019. </w:t>
      </w:r>
    </w:p>
    <w:p w14:paraId="4002A1E9">
      <w:pPr>
        <w:jc w:val="both"/>
      </w:pPr>
      <w:r>
        <w:t xml:space="preserve">2. Walesh, S.G., Engineering Your Future: The Professional Practice of Engineering, 3rd Edition, Wiley, 2012. </w:t>
      </w:r>
    </w:p>
    <w:p w14:paraId="63C0829E">
      <w:pPr>
        <w:jc w:val="both"/>
      </w:pPr>
      <w:r>
        <w:t>3. Subramaniam, R., Professional Ethics, 2nd Edition, Oxford University Press, 2017. 4. Lectures note on Engineering Professional Practice provide by Concerned faculty members.</w:t>
      </w:r>
    </w:p>
    <w:p w14:paraId="2FB29E7A">
      <w:pPr>
        <w:jc w:val="both"/>
      </w:pPr>
    </w:p>
    <w:p w14:paraId="1C2E7E7F">
      <w:pPr>
        <w:jc w:val="both"/>
        <w:rPr>
          <w:b/>
        </w:rPr>
      </w:pPr>
      <w:r>
        <w:rPr>
          <w:b/>
        </w:rPr>
        <w:t xml:space="preserve">10. Lesson plan </w:t>
      </w:r>
    </w:p>
    <w:tbl>
      <w:tblPr>
        <w:tblStyle w:val="3"/>
        <w:tblpPr w:leftFromText="180" w:rightFromText="180" w:vertAnchor="text" w:horzAnchor="page" w:tblpX="1825" w:tblpY="463"/>
        <w:tblOverlap w:val="never"/>
        <w:tblW w:w="5131"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021"/>
        <w:gridCol w:w="5460"/>
        <w:gridCol w:w="1267"/>
      </w:tblGrid>
      <w:tr w14:paraId="25D7A9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05" w:hRule="atLeast"/>
        </w:trPr>
        <w:tc>
          <w:tcPr>
            <w:tcW w:w="1155" w:type="pct"/>
            <w:noWrap/>
            <w:vAlign w:val="center"/>
          </w:tcPr>
          <w:p w14:paraId="3EB79984">
            <w:pPr>
              <w:widowControl w:val="0"/>
              <w:jc w:val="center"/>
              <w:rPr>
                <w:lang w:val="en-US"/>
              </w:rPr>
            </w:pPr>
            <w:r>
              <w:rPr>
                <w:b/>
                <w:lang w:val="en-US"/>
              </w:rPr>
              <w:t>Chapters</w:t>
            </w:r>
          </w:p>
        </w:tc>
        <w:tc>
          <w:tcPr>
            <w:tcW w:w="3121" w:type="pct"/>
            <w:noWrap/>
            <w:vAlign w:val="center"/>
          </w:tcPr>
          <w:p w14:paraId="24892C74">
            <w:pPr>
              <w:widowControl w:val="0"/>
              <w:rPr>
                <w:b/>
                <w:bCs/>
                <w:lang w:val="en-US"/>
              </w:rPr>
            </w:pPr>
            <w:r>
              <w:rPr>
                <w:b/>
                <w:bCs/>
                <w:lang w:val="en-US"/>
              </w:rPr>
              <w:t>Contents</w:t>
            </w:r>
          </w:p>
        </w:tc>
        <w:tc>
          <w:tcPr>
            <w:tcW w:w="724" w:type="pct"/>
            <w:noWrap/>
            <w:vAlign w:val="center"/>
          </w:tcPr>
          <w:p w14:paraId="3D7B2D44">
            <w:pPr>
              <w:widowControl w:val="0"/>
              <w:jc w:val="center"/>
              <w:rPr>
                <w:b/>
                <w:bCs/>
                <w:lang w:val="en-US"/>
              </w:rPr>
            </w:pPr>
            <w:r>
              <w:rPr>
                <w:b/>
                <w:bCs/>
                <w:lang w:val="en-US"/>
              </w:rPr>
              <w:t>No. of Lectures</w:t>
            </w:r>
          </w:p>
        </w:tc>
      </w:tr>
      <w:tr w14:paraId="62B3AF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 w:hRule="atLeast"/>
        </w:trPr>
        <w:tc>
          <w:tcPr>
            <w:tcW w:w="1155" w:type="pct"/>
            <w:vMerge w:val="restart"/>
            <w:noWrap/>
            <w:vAlign w:val="center"/>
          </w:tcPr>
          <w:p w14:paraId="540C1780">
            <w:pPr>
              <w:jc w:val="both"/>
              <w:rPr>
                <w:rFonts w:eastAsia="SimSun"/>
                <w:b/>
                <w:bCs/>
                <w:color w:val="000000"/>
                <w:lang w:val="en-US" w:eastAsia="zh-CN" w:bidi="ar"/>
              </w:rPr>
            </w:pPr>
            <w:r>
              <w:rPr>
                <w:rFonts w:eastAsia="SimSun"/>
                <w:b/>
                <w:bCs/>
                <w:color w:val="000000"/>
                <w:lang w:val="en-US" w:eastAsia="zh-CN" w:bidi="ar"/>
              </w:rPr>
              <w:t>Engineering and Engineer</w:t>
            </w:r>
          </w:p>
          <w:p w14:paraId="2E10A1FE">
            <w:pPr>
              <w:jc w:val="both"/>
            </w:pPr>
          </w:p>
        </w:tc>
        <w:tc>
          <w:tcPr>
            <w:tcW w:w="3121" w:type="pct"/>
            <w:noWrap/>
          </w:tcPr>
          <w:p w14:paraId="4F236431">
            <w:pPr>
              <w:widowControl w:val="0"/>
              <w:jc w:val="both"/>
              <w:rPr>
                <w:lang w:val="en-US"/>
              </w:rPr>
            </w:pPr>
            <w:r>
              <w:rPr>
                <w:lang w:val="en-US"/>
              </w:rPr>
              <w:t>Introduction</w:t>
            </w:r>
          </w:p>
        </w:tc>
        <w:tc>
          <w:tcPr>
            <w:tcW w:w="724" w:type="pct"/>
            <w:noWrap/>
          </w:tcPr>
          <w:p w14:paraId="1BC77A41">
            <w:pPr>
              <w:widowControl w:val="0"/>
              <w:jc w:val="center"/>
              <w:rPr>
                <w:lang w:val="en-US"/>
              </w:rPr>
            </w:pPr>
            <w:r>
              <w:rPr>
                <w:lang w:val="en-US"/>
              </w:rPr>
              <w:t>01</w:t>
            </w:r>
          </w:p>
        </w:tc>
      </w:tr>
      <w:tr w14:paraId="383D13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4" w:hRule="atLeast"/>
        </w:trPr>
        <w:tc>
          <w:tcPr>
            <w:tcW w:w="1155" w:type="pct"/>
            <w:vMerge w:val="continue"/>
            <w:noWrap/>
            <w:vAlign w:val="center"/>
          </w:tcPr>
          <w:p w14:paraId="225758FC">
            <w:pPr>
              <w:widowControl w:val="0"/>
              <w:rPr>
                <w:lang w:val="en-US"/>
              </w:rPr>
            </w:pPr>
          </w:p>
        </w:tc>
        <w:tc>
          <w:tcPr>
            <w:tcW w:w="3121" w:type="pct"/>
            <w:noWrap/>
          </w:tcPr>
          <w:p w14:paraId="0BFD8581">
            <w:pPr>
              <w:spacing w:before="100" w:beforeAutospacing="1"/>
              <w:rPr>
                <w:lang w:val="en-US"/>
              </w:rPr>
            </w:pPr>
            <w:r>
              <w:rPr>
                <w:rFonts w:eastAsia="SimSun"/>
                <w:bCs/>
                <w:color w:val="000000"/>
                <w:lang w:val="en-US" w:eastAsia="zh-CN" w:bidi="ar"/>
              </w:rPr>
              <w:t>Engineering as a discipline and a profession</w:t>
            </w:r>
          </w:p>
        </w:tc>
        <w:tc>
          <w:tcPr>
            <w:tcW w:w="724" w:type="pct"/>
            <w:noWrap/>
          </w:tcPr>
          <w:p w14:paraId="17F7640E">
            <w:pPr>
              <w:widowControl w:val="0"/>
              <w:jc w:val="center"/>
              <w:rPr>
                <w:lang w:val="en-US"/>
              </w:rPr>
            </w:pPr>
            <w:r>
              <w:rPr>
                <w:lang w:val="en-US"/>
              </w:rPr>
              <w:t>01</w:t>
            </w:r>
          </w:p>
        </w:tc>
      </w:tr>
      <w:tr w14:paraId="2E0DF2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4" w:hRule="atLeast"/>
        </w:trPr>
        <w:tc>
          <w:tcPr>
            <w:tcW w:w="1155" w:type="pct"/>
            <w:vMerge w:val="continue"/>
            <w:noWrap/>
          </w:tcPr>
          <w:p w14:paraId="1A23BF4C">
            <w:pPr>
              <w:widowControl w:val="0"/>
              <w:jc w:val="both"/>
              <w:rPr>
                <w:lang w:val="en-US"/>
              </w:rPr>
            </w:pPr>
          </w:p>
        </w:tc>
        <w:tc>
          <w:tcPr>
            <w:tcW w:w="3121" w:type="pct"/>
            <w:noWrap/>
          </w:tcPr>
          <w:p w14:paraId="686E8D7D">
            <w:pPr>
              <w:rPr>
                <w:lang w:val="en-US"/>
              </w:rPr>
            </w:pPr>
            <w:r>
              <w:t>Attributes and functions of a practicing engineer</w:t>
            </w:r>
          </w:p>
        </w:tc>
        <w:tc>
          <w:tcPr>
            <w:tcW w:w="724" w:type="pct"/>
            <w:noWrap/>
          </w:tcPr>
          <w:p w14:paraId="7436EE2A">
            <w:pPr>
              <w:widowControl w:val="0"/>
              <w:jc w:val="center"/>
              <w:rPr>
                <w:lang w:val="en-US"/>
              </w:rPr>
            </w:pPr>
            <w:r>
              <w:rPr>
                <w:lang w:val="en-US"/>
              </w:rPr>
              <w:t>01</w:t>
            </w:r>
          </w:p>
        </w:tc>
      </w:tr>
      <w:tr w14:paraId="1ACE51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4" w:hRule="atLeast"/>
        </w:trPr>
        <w:tc>
          <w:tcPr>
            <w:tcW w:w="1155" w:type="pct"/>
            <w:vMerge w:val="continue"/>
            <w:noWrap/>
          </w:tcPr>
          <w:p w14:paraId="681EB94D">
            <w:pPr>
              <w:widowControl w:val="0"/>
              <w:jc w:val="both"/>
              <w:rPr>
                <w:lang w:val="en-US"/>
              </w:rPr>
            </w:pPr>
          </w:p>
        </w:tc>
        <w:tc>
          <w:tcPr>
            <w:tcW w:w="3121" w:type="pct"/>
            <w:noWrap/>
          </w:tcPr>
          <w:p w14:paraId="7DB7B402">
            <w:pPr>
              <w:rPr>
                <w:lang w:val="en-US"/>
              </w:rPr>
            </w:pPr>
            <w:r>
              <w:t>Engineer as a problem solver, designer, and change agent</w:t>
            </w:r>
          </w:p>
        </w:tc>
        <w:tc>
          <w:tcPr>
            <w:tcW w:w="724" w:type="pct"/>
            <w:noWrap/>
          </w:tcPr>
          <w:p w14:paraId="0B81A64B">
            <w:pPr>
              <w:widowControl w:val="0"/>
              <w:jc w:val="center"/>
              <w:rPr>
                <w:lang w:val="en-US"/>
              </w:rPr>
            </w:pPr>
            <w:r>
              <w:rPr>
                <w:lang w:val="en-US"/>
              </w:rPr>
              <w:t>01</w:t>
            </w:r>
          </w:p>
        </w:tc>
      </w:tr>
      <w:tr w14:paraId="5D335F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4" w:hRule="atLeast"/>
        </w:trPr>
        <w:tc>
          <w:tcPr>
            <w:tcW w:w="5000" w:type="pct"/>
            <w:gridSpan w:val="3"/>
            <w:noWrap/>
          </w:tcPr>
          <w:p w14:paraId="40187D3D">
            <w:pPr>
              <w:widowControl w:val="0"/>
              <w:jc w:val="center"/>
              <w:rPr>
                <w:b/>
                <w:lang w:val="en-US"/>
              </w:rPr>
            </w:pPr>
            <w:r>
              <w:rPr>
                <w:b/>
                <w:lang w:val="en-US"/>
              </w:rPr>
              <w:t>Assignment-1 and Activity-1</w:t>
            </w:r>
          </w:p>
        </w:tc>
      </w:tr>
      <w:tr w14:paraId="65A862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1" w:hRule="atLeast"/>
        </w:trPr>
        <w:tc>
          <w:tcPr>
            <w:tcW w:w="1155" w:type="pct"/>
            <w:vMerge w:val="restart"/>
            <w:noWrap/>
            <w:vAlign w:val="center"/>
          </w:tcPr>
          <w:p w14:paraId="140D9156">
            <w:pPr>
              <w:jc w:val="both"/>
              <w:rPr>
                <w:b/>
                <w:bCs/>
                <w:lang w:val="en-US"/>
              </w:rPr>
            </w:pPr>
            <w:r>
              <w:rPr>
                <w:rFonts w:eastAsia="SimSun"/>
                <w:b/>
                <w:bCs/>
                <w:color w:val="000000"/>
                <w:lang w:val="en-US" w:eastAsia="zh-CN" w:bidi="ar"/>
              </w:rPr>
              <w:t>Selected Functions of Engineering</w:t>
            </w:r>
          </w:p>
        </w:tc>
        <w:tc>
          <w:tcPr>
            <w:tcW w:w="3121" w:type="pct"/>
            <w:noWrap/>
          </w:tcPr>
          <w:p w14:paraId="678D3973">
            <w:pPr>
              <w:rPr>
                <w:lang w:val="en-US"/>
              </w:rPr>
            </w:pPr>
            <w:r>
              <w:t>Designing for safety and reliability</w:t>
            </w:r>
          </w:p>
        </w:tc>
        <w:tc>
          <w:tcPr>
            <w:tcW w:w="724" w:type="pct"/>
            <w:noWrap/>
          </w:tcPr>
          <w:p w14:paraId="2FE1ED3C">
            <w:pPr>
              <w:widowControl w:val="0"/>
              <w:jc w:val="center"/>
              <w:rPr>
                <w:lang w:val="en-US"/>
              </w:rPr>
            </w:pPr>
            <w:r>
              <w:rPr>
                <w:lang w:val="en-US"/>
              </w:rPr>
              <w:t>01</w:t>
            </w:r>
          </w:p>
        </w:tc>
      </w:tr>
      <w:tr w14:paraId="0846A0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4" w:hRule="atLeast"/>
        </w:trPr>
        <w:tc>
          <w:tcPr>
            <w:tcW w:w="1155" w:type="pct"/>
            <w:vMerge w:val="continue"/>
            <w:noWrap/>
          </w:tcPr>
          <w:p w14:paraId="07D45E5E">
            <w:pPr>
              <w:widowControl w:val="0"/>
              <w:jc w:val="both"/>
              <w:rPr>
                <w:b/>
                <w:bCs/>
                <w:lang w:val="en-US"/>
              </w:rPr>
            </w:pPr>
          </w:p>
        </w:tc>
        <w:tc>
          <w:tcPr>
            <w:tcW w:w="3121" w:type="pct"/>
            <w:noWrap/>
          </w:tcPr>
          <w:p w14:paraId="7934F82A">
            <w:pPr>
              <w:rPr>
                <w:lang w:val="en-US"/>
              </w:rPr>
            </w:pPr>
            <w:r>
              <w:t>Quality and productivity management</w:t>
            </w:r>
          </w:p>
        </w:tc>
        <w:tc>
          <w:tcPr>
            <w:tcW w:w="724" w:type="pct"/>
            <w:noWrap/>
          </w:tcPr>
          <w:p w14:paraId="0021500F">
            <w:pPr>
              <w:widowControl w:val="0"/>
              <w:jc w:val="center"/>
              <w:rPr>
                <w:lang w:val="en-US"/>
              </w:rPr>
            </w:pPr>
            <w:r>
              <w:rPr>
                <w:lang w:val="en-US"/>
              </w:rPr>
              <w:t>01</w:t>
            </w:r>
          </w:p>
        </w:tc>
      </w:tr>
      <w:tr w14:paraId="117CD6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0" w:hRule="atLeast"/>
        </w:trPr>
        <w:tc>
          <w:tcPr>
            <w:tcW w:w="1155" w:type="pct"/>
            <w:vMerge w:val="continue"/>
            <w:noWrap/>
          </w:tcPr>
          <w:p w14:paraId="189546C2">
            <w:pPr>
              <w:widowControl w:val="0"/>
              <w:jc w:val="both"/>
              <w:rPr>
                <w:b/>
                <w:bCs/>
                <w:lang w:val="en-US"/>
              </w:rPr>
            </w:pPr>
          </w:p>
        </w:tc>
        <w:tc>
          <w:tcPr>
            <w:tcW w:w="3121" w:type="pct"/>
            <w:noWrap/>
          </w:tcPr>
          <w:p w14:paraId="31C846AB">
            <w:pPr>
              <w:rPr>
                <w:lang w:val="en-US"/>
              </w:rPr>
            </w:pPr>
            <w:r>
              <w:t>Dealing with problem complexity, uncertainty, risk, and ambiguity</w:t>
            </w:r>
          </w:p>
        </w:tc>
        <w:tc>
          <w:tcPr>
            <w:tcW w:w="724" w:type="pct"/>
            <w:noWrap/>
          </w:tcPr>
          <w:p w14:paraId="6B4BD103">
            <w:pPr>
              <w:widowControl w:val="0"/>
              <w:jc w:val="center"/>
              <w:rPr>
                <w:lang w:val="en-US"/>
              </w:rPr>
            </w:pPr>
            <w:r>
              <w:rPr>
                <w:lang w:val="en-US"/>
              </w:rPr>
              <w:t>01</w:t>
            </w:r>
          </w:p>
        </w:tc>
      </w:tr>
      <w:tr w14:paraId="1EB05D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1155" w:type="pct"/>
            <w:vMerge w:val="continue"/>
            <w:noWrap/>
          </w:tcPr>
          <w:p w14:paraId="7D2C7BA6">
            <w:pPr>
              <w:widowControl w:val="0"/>
              <w:jc w:val="both"/>
              <w:rPr>
                <w:b/>
                <w:bCs/>
                <w:lang w:val="en-US"/>
              </w:rPr>
            </w:pPr>
          </w:p>
        </w:tc>
        <w:tc>
          <w:tcPr>
            <w:tcW w:w="3121" w:type="pct"/>
            <w:noWrap/>
          </w:tcPr>
          <w:p w14:paraId="2E9081B9">
            <w:pPr>
              <w:rPr>
                <w:lang w:val="en-US"/>
              </w:rPr>
            </w:pPr>
            <w:r>
              <w:t>Project management</w:t>
            </w:r>
          </w:p>
        </w:tc>
        <w:tc>
          <w:tcPr>
            <w:tcW w:w="724" w:type="pct"/>
            <w:noWrap/>
          </w:tcPr>
          <w:p w14:paraId="78CD57C4">
            <w:pPr>
              <w:widowControl w:val="0"/>
              <w:jc w:val="center"/>
              <w:rPr>
                <w:lang w:val="en-US"/>
              </w:rPr>
            </w:pPr>
            <w:r>
              <w:rPr>
                <w:lang w:val="en-US"/>
              </w:rPr>
              <w:t>02</w:t>
            </w:r>
          </w:p>
        </w:tc>
      </w:tr>
      <w:tr w14:paraId="008436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1" w:hRule="atLeast"/>
        </w:trPr>
        <w:tc>
          <w:tcPr>
            <w:tcW w:w="1155" w:type="pct"/>
            <w:vMerge w:val="continue"/>
            <w:noWrap/>
          </w:tcPr>
          <w:p w14:paraId="23189CF5">
            <w:pPr>
              <w:widowControl w:val="0"/>
              <w:jc w:val="both"/>
              <w:rPr>
                <w:b/>
                <w:bCs/>
                <w:lang w:val="en-US"/>
              </w:rPr>
            </w:pPr>
          </w:p>
        </w:tc>
        <w:tc>
          <w:tcPr>
            <w:tcW w:w="3121" w:type="pct"/>
            <w:noWrap/>
          </w:tcPr>
          <w:p w14:paraId="024A3893">
            <w:r>
              <w:t>Managerial functions such as planning, organizing, motivating, and controlling</w:t>
            </w:r>
          </w:p>
        </w:tc>
        <w:tc>
          <w:tcPr>
            <w:tcW w:w="724" w:type="pct"/>
            <w:noWrap/>
          </w:tcPr>
          <w:p w14:paraId="74692382">
            <w:pPr>
              <w:widowControl w:val="0"/>
              <w:jc w:val="center"/>
              <w:rPr>
                <w:lang w:val="en-US"/>
              </w:rPr>
            </w:pPr>
            <w:r>
              <w:rPr>
                <w:lang w:val="en-US"/>
              </w:rPr>
              <w:t>01</w:t>
            </w:r>
          </w:p>
        </w:tc>
      </w:tr>
      <w:tr w14:paraId="3E23F5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6" w:hRule="atLeast"/>
        </w:trPr>
        <w:tc>
          <w:tcPr>
            <w:tcW w:w="1155" w:type="pct"/>
            <w:vMerge w:val="continue"/>
            <w:noWrap/>
          </w:tcPr>
          <w:p w14:paraId="493D9CAC">
            <w:pPr>
              <w:widowControl w:val="0"/>
              <w:jc w:val="both"/>
              <w:rPr>
                <w:b/>
                <w:bCs/>
                <w:lang w:val="en-US"/>
              </w:rPr>
            </w:pPr>
          </w:p>
        </w:tc>
        <w:tc>
          <w:tcPr>
            <w:tcW w:w="3121" w:type="pct"/>
            <w:noWrap/>
          </w:tcPr>
          <w:p w14:paraId="5BB03CF6">
            <w:r>
              <w:t>Costing and accounting</w:t>
            </w:r>
          </w:p>
        </w:tc>
        <w:tc>
          <w:tcPr>
            <w:tcW w:w="724" w:type="pct"/>
            <w:noWrap/>
          </w:tcPr>
          <w:p w14:paraId="131F9857">
            <w:pPr>
              <w:widowControl w:val="0"/>
              <w:jc w:val="center"/>
              <w:rPr>
                <w:lang w:val="en-US"/>
              </w:rPr>
            </w:pPr>
            <w:r>
              <w:rPr>
                <w:lang w:val="en-US"/>
              </w:rPr>
              <w:t>02</w:t>
            </w:r>
          </w:p>
        </w:tc>
      </w:tr>
      <w:tr w14:paraId="344B82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4" w:hRule="atLeast"/>
        </w:trPr>
        <w:tc>
          <w:tcPr>
            <w:tcW w:w="5000" w:type="pct"/>
            <w:gridSpan w:val="3"/>
            <w:noWrap/>
          </w:tcPr>
          <w:p w14:paraId="0DE55042">
            <w:pPr>
              <w:widowControl w:val="0"/>
              <w:jc w:val="center"/>
              <w:rPr>
                <w:b/>
                <w:i/>
                <w:lang w:val="en-US"/>
              </w:rPr>
            </w:pPr>
            <w:r>
              <w:rPr>
                <w:b/>
                <w:i/>
                <w:lang w:val="en-US"/>
              </w:rPr>
              <w:t>Assignment-2 and Activity-2</w:t>
            </w:r>
          </w:p>
        </w:tc>
      </w:tr>
      <w:tr w14:paraId="263816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4" w:hRule="atLeast"/>
        </w:trPr>
        <w:tc>
          <w:tcPr>
            <w:tcW w:w="5000" w:type="pct"/>
            <w:gridSpan w:val="3"/>
            <w:noWrap/>
          </w:tcPr>
          <w:p w14:paraId="4FDED71E">
            <w:pPr>
              <w:widowControl w:val="0"/>
              <w:jc w:val="center"/>
              <w:rPr>
                <w:b/>
                <w:i/>
                <w:lang w:val="en-US"/>
              </w:rPr>
            </w:pPr>
            <w:r>
              <w:rPr>
                <w:b/>
                <w:i/>
                <w:lang w:val="en-US"/>
              </w:rPr>
              <w:t>Quiz-1 (Before Mid-Semester Exam)</w:t>
            </w:r>
          </w:p>
        </w:tc>
      </w:tr>
      <w:tr w14:paraId="4D97F7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4" w:hRule="atLeast"/>
        </w:trPr>
        <w:tc>
          <w:tcPr>
            <w:tcW w:w="5000" w:type="pct"/>
            <w:gridSpan w:val="3"/>
            <w:noWrap/>
          </w:tcPr>
          <w:p w14:paraId="18E88B88">
            <w:pPr>
              <w:widowControl w:val="0"/>
              <w:jc w:val="center"/>
              <w:rPr>
                <w:b/>
                <w:i/>
                <w:lang w:val="en-US"/>
              </w:rPr>
            </w:pPr>
            <w:r>
              <w:rPr>
                <w:b/>
                <w:i/>
                <w:lang w:val="en-US"/>
              </w:rPr>
              <w:t>Mid-Semester Exam</w:t>
            </w:r>
          </w:p>
          <w:p w14:paraId="52B52762">
            <w:pPr>
              <w:widowControl w:val="0"/>
              <w:jc w:val="center"/>
              <w:rPr>
                <w:b/>
                <w:i/>
                <w:lang w:val="en-US"/>
              </w:rPr>
            </w:pPr>
          </w:p>
          <w:p w14:paraId="50D12500">
            <w:pPr>
              <w:widowControl w:val="0"/>
              <w:jc w:val="center"/>
              <w:rPr>
                <w:b/>
                <w:i/>
                <w:lang w:val="en-US"/>
              </w:rPr>
            </w:pPr>
          </w:p>
        </w:tc>
      </w:tr>
      <w:tr w14:paraId="1CC7B0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8" w:hRule="atLeast"/>
        </w:trPr>
        <w:tc>
          <w:tcPr>
            <w:tcW w:w="1155" w:type="pct"/>
            <w:vMerge w:val="restart"/>
            <w:noWrap/>
            <w:vAlign w:val="center"/>
          </w:tcPr>
          <w:p w14:paraId="12BB27FA">
            <w:pPr>
              <w:jc w:val="both"/>
              <w:rPr>
                <w:b/>
                <w:bCs/>
                <w:lang w:val="en-US"/>
              </w:rPr>
            </w:pPr>
            <w:r>
              <w:rPr>
                <w:rFonts w:eastAsia="SimSun"/>
                <w:b/>
                <w:bCs/>
                <w:color w:val="000000"/>
                <w:lang w:val="en-US" w:eastAsia="zh-CN" w:bidi="ar"/>
              </w:rPr>
              <w:t xml:space="preserve">   Professional Aspects of Engineering</w:t>
            </w:r>
          </w:p>
        </w:tc>
        <w:tc>
          <w:tcPr>
            <w:tcW w:w="3121" w:type="pct"/>
            <w:noWrap/>
          </w:tcPr>
          <w:p w14:paraId="30F95EF7">
            <w:pPr>
              <w:rPr>
                <w:lang w:val="en-US"/>
              </w:rPr>
            </w:pPr>
            <w:r>
              <w:t>Accreditation, certification, and licensing</w:t>
            </w:r>
          </w:p>
        </w:tc>
        <w:tc>
          <w:tcPr>
            <w:tcW w:w="724" w:type="pct"/>
            <w:noWrap/>
          </w:tcPr>
          <w:p w14:paraId="69BCE599">
            <w:pPr>
              <w:widowControl w:val="0"/>
              <w:jc w:val="center"/>
              <w:rPr>
                <w:lang w:val="en-US"/>
              </w:rPr>
            </w:pPr>
            <w:r>
              <w:rPr>
                <w:lang w:val="en-US"/>
              </w:rPr>
              <w:t>01</w:t>
            </w:r>
          </w:p>
        </w:tc>
      </w:tr>
      <w:tr w14:paraId="438B04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1155" w:type="pct"/>
            <w:vMerge w:val="continue"/>
            <w:noWrap/>
          </w:tcPr>
          <w:p w14:paraId="33C10C59">
            <w:pPr>
              <w:widowControl w:val="0"/>
              <w:rPr>
                <w:b/>
                <w:bCs/>
                <w:lang w:val="en-US"/>
              </w:rPr>
            </w:pPr>
          </w:p>
        </w:tc>
        <w:tc>
          <w:tcPr>
            <w:tcW w:w="3121" w:type="pct"/>
            <w:noWrap/>
          </w:tcPr>
          <w:p w14:paraId="6F6AF097">
            <w:pPr>
              <w:rPr>
                <w:lang w:val="en-US"/>
              </w:rPr>
            </w:pPr>
            <w:r>
              <w:t>Ethical issues: Ethics and morality, ethical dilemmas</w:t>
            </w:r>
          </w:p>
        </w:tc>
        <w:tc>
          <w:tcPr>
            <w:tcW w:w="724" w:type="pct"/>
            <w:noWrap/>
          </w:tcPr>
          <w:p w14:paraId="749CC3B8">
            <w:pPr>
              <w:widowControl w:val="0"/>
              <w:jc w:val="center"/>
              <w:rPr>
                <w:lang w:val="en-US"/>
              </w:rPr>
            </w:pPr>
            <w:r>
              <w:rPr>
                <w:lang w:val="en-US"/>
              </w:rPr>
              <w:t>01</w:t>
            </w:r>
          </w:p>
        </w:tc>
      </w:tr>
      <w:tr w14:paraId="5065BB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4" w:hRule="atLeast"/>
        </w:trPr>
        <w:tc>
          <w:tcPr>
            <w:tcW w:w="1155" w:type="pct"/>
            <w:vMerge w:val="continue"/>
            <w:noWrap/>
          </w:tcPr>
          <w:p w14:paraId="47278E90">
            <w:pPr>
              <w:widowControl w:val="0"/>
              <w:rPr>
                <w:b/>
                <w:bCs/>
                <w:lang w:val="en-US"/>
              </w:rPr>
            </w:pPr>
          </w:p>
        </w:tc>
        <w:tc>
          <w:tcPr>
            <w:tcW w:w="3121" w:type="pct"/>
            <w:noWrap/>
          </w:tcPr>
          <w:p w14:paraId="5394FF5B">
            <w:pPr>
              <w:rPr>
                <w:lang w:val="en-US"/>
              </w:rPr>
            </w:pPr>
            <w:r>
              <w:t>Codes of ethics, professional conduct</w:t>
            </w:r>
          </w:p>
        </w:tc>
        <w:tc>
          <w:tcPr>
            <w:tcW w:w="724" w:type="pct"/>
            <w:noWrap/>
          </w:tcPr>
          <w:p w14:paraId="1615261F">
            <w:pPr>
              <w:widowControl w:val="0"/>
              <w:jc w:val="center"/>
              <w:rPr>
                <w:lang w:val="en-US"/>
              </w:rPr>
            </w:pPr>
            <w:r>
              <w:rPr>
                <w:lang w:val="en-US"/>
              </w:rPr>
              <w:t>01</w:t>
            </w:r>
          </w:p>
        </w:tc>
      </w:tr>
      <w:tr w14:paraId="4D98D5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7" w:hRule="atLeast"/>
        </w:trPr>
        <w:tc>
          <w:tcPr>
            <w:tcW w:w="1155" w:type="pct"/>
            <w:vMerge w:val="continue"/>
            <w:noWrap/>
          </w:tcPr>
          <w:p w14:paraId="69D28BEB">
            <w:pPr>
              <w:widowControl w:val="0"/>
              <w:rPr>
                <w:b/>
                <w:bCs/>
                <w:lang w:val="en-US"/>
              </w:rPr>
            </w:pPr>
          </w:p>
        </w:tc>
        <w:tc>
          <w:tcPr>
            <w:tcW w:w="3121" w:type="pct"/>
            <w:noWrap/>
          </w:tcPr>
          <w:p w14:paraId="4D4EB719">
            <w:pPr>
              <w:rPr>
                <w:lang w:val="en-US"/>
              </w:rPr>
            </w:pPr>
            <w:r>
              <w:t>Nature and role of professional societies, engineering standards</w:t>
            </w:r>
          </w:p>
        </w:tc>
        <w:tc>
          <w:tcPr>
            <w:tcW w:w="724" w:type="pct"/>
            <w:noWrap/>
          </w:tcPr>
          <w:p w14:paraId="5FD3162B">
            <w:pPr>
              <w:widowControl w:val="0"/>
              <w:jc w:val="center"/>
              <w:rPr>
                <w:lang w:val="en-US"/>
              </w:rPr>
            </w:pPr>
            <w:r>
              <w:rPr>
                <w:lang w:val="en-US"/>
              </w:rPr>
              <w:t>01</w:t>
            </w:r>
          </w:p>
        </w:tc>
      </w:tr>
      <w:tr w14:paraId="29D4A9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1155" w:type="pct"/>
            <w:vMerge w:val="continue"/>
            <w:noWrap/>
            <w:vAlign w:val="center"/>
          </w:tcPr>
          <w:p w14:paraId="2304C371">
            <w:pPr>
              <w:jc w:val="both"/>
              <w:rPr>
                <w:b/>
                <w:bCs/>
                <w:lang w:val="en-US"/>
              </w:rPr>
            </w:pPr>
          </w:p>
        </w:tc>
        <w:tc>
          <w:tcPr>
            <w:tcW w:w="3121" w:type="pct"/>
            <w:noWrap/>
          </w:tcPr>
          <w:p w14:paraId="08CA8DC3">
            <w:pPr>
              <w:jc w:val="both"/>
              <w:rPr>
                <w:lang w:val="en-US"/>
              </w:rPr>
            </w:pPr>
            <w:r>
              <w:rPr>
                <w:rFonts w:eastAsia="SimSun"/>
                <w:bCs/>
                <w:color w:val="000000"/>
                <w:lang w:val="en-US" w:eastAsia="zh-CN" w:bidi="ar"/>
              </w:rPr>
              <w:t>Legal issues—Legal forms of business organizations</w:t>
            </w:r>
          </w:p>
        </w:tc>
        <w:tc>
          <w:tcPr>
            <w:tcW w:w="724" w:type="pct"/>
            <w:noWrap/>
          </w:tcPr>
          <w:p w14:paraId="5DAD1ECC">
            <w:pPr>
              <w:widowControl w:val="0"/>
              <w:jc w:val="center"/>
              <w:rPr>
                <w:lang w:val="en-US"/>
              </w:rPr>
            </w:pPr>
            <w:r>
              <w:rPr>
                <w:lang w:val="en-US"/>
              </w:rPr>
              <w:t>01</w:t>
            </w:r>
          </w:p>
        </w:tc>
      </w:tr>
      <w:tr w14:paraId="16D757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0" w:hRule="atLeast"/>
        </w:trPr>
        <w:tc>
          <w:tcPr>
            <w:tcW w:w="1155" w:type="pct"/>
            <w:vMerge w:val="continue"/>
            <w:noWrap/>
            <w:vAlign w:val="center"/>
          </w:tcPr>
          <w:p w14:paraId="5E89FC8A">
            <w:pPr>
              <w:widowControl w:val="0"/>
              <w:rPr>
                <w:b/>
                <w:bCs/>
                <w:lang w:val="en-US"/>
              </w:rPr>
            </w:pPr>
          </w:p>
        </w:tc>
        <w:tc>
          <w:tcPr>
            <w:tcW w:w="3121" w:type="pct"/>
            <w:noWrap/>
          </w:tcPr>
          <w:p w14:paraId="6EAA2BB9">
            <w:pPr>
              <w:rPr>
                <w:lang w:val="en-US"/>
              </w:rPr>
            </w:pPr>
            <w:r>
              <w:rPr>
                <w:rFonts w:eastAsia="SimSun"/>
                <w:bCs/>
                <w:color w:val="000000"/>
                <w:lang w:val="en-US" w:eastAsia="zh-CN" w:bidi="ar"/>
              </w:rPr>
              <w:t>Employment contracts, trademarks, patents, copyrights, trade secrets, professional liability, contractual agreements</w:t>
            </w:r>
          </w:p>
        </w:tc>
        <w:tc>
          <w:tcPr>
            <w:tcW w:w="724" w:type="pct"/>
            <w:noWrap/>
          </w:tcPr>
          <w:p w14:paraId="115C4023">
            <w:pPr>
              <w:widowControl w:val="0"/>
              <w:jc w:val="center"/>
              <w:rPr>
                <w:lang w:val="en-US"/>
              </w:rPr>
            </w:pPr>
            <w:r>
              <w:rPr>
                <w:lang w:val="en-US"/>
              </w:rPr>
              <w:t>01</w:t>
            </w:r>
          </w:p>
        </w:tc>
      </w:tr>
      <w:tr w14:paraId="4689BA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4" w:hRule="atLeast"/>
        </w:trPr>
        <w:tc>
          <w:tcPr>
            <w:tcW w:w="1155" w:type="pct"/>
            <w:vMerge w:val="continue"/>
            <w:noWrap/>
            <w:vAlign w:val="center"/>
          </w:tcPr>
          <w:p w14:paraId="5E48E5D8">
            <w:pPr>
              <w:widowControl w:val="0"/>
              <w:rPr>
                <w:b/>
                <w:bCs/>
                <w:lang w:val="en-US"/>
              </w:rPr>
            </w:pPr>
          </w:p>
        </w:tc>
        <w:tc>
          <w:tcPr>
            <w:tcW w:w="3121" w:type="pct"/>
            <w:noWrap/>
          </w:tcPr>
          <w:p w14:paraId="2DA67812">
            <w:pPr>
              <w:jc w:val="both"/>
              <w:rPr>
                <w:rFonts w:eastAsia="SimSun"/>
                <w:color w:val="000000"/>
                <w:lang w:val="en-US" w:eastAsia="zh-CN" w:bidi="ar"/>
              </w:rPr>
            </w:pPr>
            <w:r>
              <w:rPr>
                <w:rFonts w:eastAsia="SimSun"/>
                <w:bCs/>
                <w:color w:val="000000"/>
                <w:lang w:val="en-US" w:eastAsia="zh-CN" w:bidi="ar"/>
              </w:rPr>
              <w:t>Environment and information technology laws</w:t>
            </w:r>
          </w:p>
        </w:tc>
        <w:tc>
          <w:tcPr>
            <w:tcW w:w="724" w:type="pct"/>
            <w:noWrap/>
          </w:tcPr>
          <w:p w14:paraId="665913E4">
            <w:pPr>
              <w:widowControl w:val="0"/>
              <w:jc w:val="center"/>
              <w:rPr>
                <w:lang w:val="en-US"/>
              </w:rPr>
            </w:pPr>
            <w:r>
              <w:rPr>
                <w:lang w:val="en-US"/>
              </w:rPr>
              <w:t>01</w:t>
            </w:r>
          </w:p>
        </w:tc>
      </w:tr>
      <w:tr w14:paraId="6E05AB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1" w:hRule="atLeast"/>
        </w:trPr>
        <w:tc>
          <w:tcPr>
            <w:tcW w:w="1155" w:type="pct"/>
            <w:vMerge w:val="continue"/>
            <w:noWrap/>
            <w:vAlign w:val="center"/>
          </w:tcPr>
          <w:p w14:paraId="2CB4CCE4">
            <w:pPr>
              <w:widowControl w:val="0"/>
              <w:rPr>
                <w:b/>
                <w:bCs/>
                <w:lang w:val="en-US"/>
              </w:rPr>
            </w:pPr>
          </w:p>
        </w:tc>
        <w:tc>
          <w:tcPr>
            <w:tcW w:w="3121" w:type="pct"/>
            <w:noWrap/>
          </w:tcPr>
          <w:p w14:paraId="2F250AB7">
            <w:pPr>
              <w:rPr>
                <w:rFonts w:eastAsia="SimSun"/>
                <w:color w:val="000000"/>
                <w:lang w:val="en-US" w:eastAsia="zh-CN" w:bidi="ar"/>
              </w:rPr>
            </w:pPr>
            <w:r>
              <w:rPr>
                <w:rFonts w:eastAsia="SimSun"/>
                <w:bCs/>
                <w:color w:val="000000"/>
                <w:lang w:val="en-US" w:eastAsia="zh-CN" w:bidi="ar"/>
              </w:rPr>
              <w:t>International legal framework such as WTO</w:t>
            </w:r>
          </w:p>
        </w:tc>
        <w:tc>
          <w:tcPr>
            <w:tcW w:w="724" w:type="pct"/>
            <w:noWrap/>
          </w:tcPr>
          <w:p w14:paraId="3B18D7B0">
            <w:pPr>
              <w:widowControl w:val="0"/>
              <w:jc w:val="center"/>
              <w:rPr>
                <w:lang w:val="en-US"/>
              </w:rPr>
            </w:pPr>
            <w:r>
              <w:rPr>
                <w:lang w:val="en-US"/>
              </w:rPr>
              <w:t>01</w:t>
            </w:r>
          </w:p>
        </w:tc>
      </w:tr>
      <w:tr w14:paraId="4F1AFB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4" w:hRule="atLeast"/>
        </w:trPr>
        <w:tc>
          <w:tcPr>
            <w:tcW w:w="5000" w:type="pct"/>
            <w:gridSpan w:val="3"/>
            <w:noWrap/>
          </w:tcPr>
          <w:p w14:paraId="6A92482F">
            <w:pPr>
              <w:widowControl w:val="0"/>
              <w:jc w:val="center"/>
              <w:rPr>
                <w:lang w:val="en-US"/>
              </w:rPr>
            </w:pPr>
            <w:r>
              <w:rPr>
                <w:b/>
                <w:lang w:val="en-US"/>
              </w:rPr>
              <w:t>Assignment-3 and Activity-3</w:t>
            </w:r>
          </w:p>
        </w:tc>
      </w:tr>
      <w:tr w14:paraId="17CCB2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0" w:hRule="atLeast"/>
        </w:trPr>
        <w:tc>
          <w:tcPr>
            <w:tcW w:w="1155" w:type="pct"/>
            <w:vMerge w:val="restart"/>
            <w:noWrap/>
            <w:vAlign w:val="center"/>
          </w:tcPr>
          <w:p w14:paraId="377C6F7E">
            <w:pPr>
              <w:jc w:val="both"/>
              <w:rPr>
                <w:b/>
              </w:rPr>
            </w:pPr>
            <w:r>
              <w:rPr>
                <w:b/>
              </w:rPr>
              <w:t xml:space="preserve">Group Dynamics </w:t>
            </w:r>
          </w:p>
          <w:p w14:paraId="1CAD359D">
            <w:pPr>
              <w:widowControl w:val="0"/>
              <w:rPr>
                <w:b/>
                <w:lang w:val="en-US"/>
              </w:rPr>
            </w:pPr>
          </w:p>
        </w:tc>
        <w:tc>
          <w:tcPr>
            <w:tcW w:w="3121" w:type="pct"/>
            <w:noWrap/>
          </w:tcPr>
          <w:p w14:paraId="3BEE779D">
            <w:pPr>
              <w:rPr>
                <w:lang w:val="en-US"/>
              </w:rPr>
            </w:pPr>
            <w:r>
              <w:t>Individual cognition; Dynamics of working in teams/groups</w:t>
            </w:r>
          </w:p>
        </w:tc>
        <w:tc>
          <w:tcPr>
            <w:tcW w:w="724" w:type="pct"/>
            <w:noWrap/>
          </w:tcPr>
          <w:p w14:paraId="466FA8FD">
            <w:pPr>
              <w:widowControl w:val="0"/>
              <w:jc w:val="center"/>
              <w:rPr>
                <w:lang w:val="en-US"/>
              </w:rPr>
            </w:pPr>
            <w:r>
              <w:rPr>
                <w:lang w:val="en-US"/>
              </w:rPr>
              <w:t>01</w:t>
            </w:r>
          </w:p>
        </w:tc>
      </w:tr>
      <w:tr w14:paraId="31EC2C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0" w:hRule="atLeast"/>
        </w:trPr>
        <w:tc>
          <w:tcPr>
            <w:tcW w:w="1155" w:type="pct"/>
            <w:vMerge w:val="continue"/>
            <w:noWrap/>
          </w:tcPr>
          <w:p w14:paraId="22ED1A76">
            <w:pPr>
              <w:widowControl w:val="0"/>
              <w:jc w:val="both"/>
              <w:rPr>
                <w:lang w:val="en-US"/>
              </w:rPr>
            </w:pPr>
          </w:p>
        </w:tc>
        <w:tc>
          <w:tcPr>
            <w:tcW w:w="3121" w:type="pct"/>
            <w:noWrap/>
          </w:tcPr>
          <w:p w14:paraId="7D1CEA25">
            <w:pPr>
              <w:rPr>
                <w:lang w:val="en-US"/>
              </w:rPr>
            </w:pPr>
            <w:r>
              <w:t>Interacting with stakeholders; Dealing with multicultural environment</w:t>
            </w:r>
          </w:p>
        </w:tc>
        <w:tc>
          <w:tcPr>
            <w:tcW w:w="724" w:type="pct"/>
            <w:noWrap/>
          </w:tcPr>
          <w:p w14:paraId="594F8001">
            <w:pPr>
              <w:widowControl w:val="0"/>
              <w:jc w:val="center"/>
              <w:rPr>
                <w:lang w:val="en-US"/>
              </w:rPr>
            </w:pPr>
            <w:r>
              <w:rPr>
                <w:lang w:val="en-US"/>
              </w:rPr>
              <w:t>01</w:t>
            </w:r>
          </w:p>
        </w:tc>
      </w:tr>
      <w:tr w14:paraId="179C87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2" w:hRule="atLeast"/>
        </w:trPr>
        <w:tc>
          <w:tcPr>
            <w:tcW w:w="1155" w:type="pct"/>
            <w:vMerge w:val="continue"/>
            <w:noWrap/>
          </w:tcPr>
          <w:p w14:paraId="4C684CCF">
            <w:pPr>
              <w:widowControl w:val="0"/>
              <w:jc w:val="both"/>
              <w:rPr>
                <w:lang w:val="en-US"/>
              </w:rPr>
            </w:pPr>
          </w:p>
        </w:tc>
        <w:tc>
          <w:tcPr>
            <w:tcW w:w="3121" w:type="pct"/>
            <w:noWrap/>
          </w:tcPr>
          <w:p w14:paraId="58578873">
            <w:pPr>
              <w:jc w:val="both"/>
              <w:rPr>
                <w:lang w:val="en-US"/>
              </w:rPr>
            </w:pPr>
            <w:r>
              <w:t>Team and group communication</w:t>
            </w:r>
          </w:p>
        </w:tc>
        <w:tc>
          <w:tcPr>
            <w:tcW w:w="724" w:type="pct"/>
            <w:noWrap/>
          </w:tcPr>
          <w:p w14:paraId="311A8928">
            <w:pPr>
              <w:widowControl w:val="0"/>
              <w:jc w:val="center"/>
              <w:rPr>
                <w:lang w:val="en-US"/>
              </w:rPr>
            </w:pPr>
            <w:r>
              <w:rPr>
                <w:lang w:val="en-US"/>
              </w:rPr>
              <w:t>01</w:t>
            </w:r>
          </w:p>
        </w:tc>
      </w:tr>
      <w:tr w14:paraId="2FD2C6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1155" w:type="pct"/>
            <w:vMerge w:val="continue"/>
            <w:noWrap/>
          </w:tcPr>
          <w:p w14:paraId="4C2FB451">
            <w:pPr>
              <w:widowControl w:val="0"/>
              <w:jc w:val="both"/>
              <w:rPr>
                <w:lang w:val="en-US"/>
              </w:rPr>
            </w:pPr>
          </w:p>
        </w:tc>
        <w:tc>
          <w:tcPr>
            <w:tcW w:w="3121" w:type="pct"/>
            <w:noWrap/>
          </w:tcPr>
          <w:p w14:paraId="5D256190">
            <w:pPr>
              <w:jc w:val="both"/>
              <w:rPr>
                <w:lang w:val="en-US"/>
              </w:rPr>
            </w:pPr>
            <w:r>
              <w:t>Negotiation and conflict resolution</w:t>
            </w:r>
          </w:p>
        </w:tc>
        <w:tc>
          <w:tcPr>
            <w:tcW w:w="724" w:type="pct"/>
            <w:noWrap/>
          </w:tcPr>
          <w:p w14:paraId="7E1CBEDB">
            <w:pPr>
              <w:widowControl w:val="0"/>
              <w:jc w:val="center"/>
              <w:rPr>
                <w:lang w:val="en-US"/>
              </w:rPr>
            </w:pPr>
            <w:r>
              <w:rPr>
                <w:lang w:val="en-US"/>
              </w:rPr>
              <w:t>01</w:t>
            </w:r>
          </w:p>
        </w:tc>
      </w:tr>
      <w:tr w14:paraId="540A87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4" w:hRule="atLeast"/>
        </w:trPr>
        <w:tc>
          <w:tcPr>
            <w:tcW w:w="5000" w:type="pct"/>
            <w:gridSpan w:val="3"/>
            <w:noWrap/>
          </w:tcPr>
          <w:p w14:paraId="6AF75EE9">
            <w:pPr>
              <w:widowControl w:val="0"/>
              <w:jc w:val="center"/>
              <w:rPr>
                <w:lang w:val="en-US"/>
              </w:rPr>
            </w:pPr>
            <w:r>
              <w:rPr>
                <w:b/>
                <w:lang w:val="en-US"/>
              </w:rPr>
              <w:t>Assignment-4 and Activity-4</w:t>
            </w:r>
          </w:p>
        </w:tc>
      </w:tr>
      <w:tr w14:paraId="22CDA1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4" w:hRule="atLeast"/>
        </w:trPr>
        <w:tc>
          <w:tcPr>
            <w:tcW w:w="5000" w:type="pct"/>
            <w:gridSpan w:val="3"/>
            <w:noWrap/>
          </w:tcPr>
          <w:p w14:paraId="330E2455">
            <w:pPr>
              <w:widowControl w:val="0"/>
              <w:jc w:val="center"/>
              <w:rPr>
                <w:b/>
                <w:i/>
                <w:lang w:val="en-US"/>
              </w:rPr>
            </w:pPr>
            <w:r>
              <w:rPr>
                <w:b/>
                <w:i/>
                <w:lang w:val="en-US"/>
              </w:rPr>
              <w:t>Quiz-2 (Before End-Semester Exam)</w:t>
            </w:r>
          </w:p>
        </w:tc>
      </w:tr>
      <w:tr w14:paraId="659039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trPr>
        <w:tc>
          <w:tcPr>
            <w:tcW w:w="1155" w:type="pct"/>
            <w:noWrap/>
          </w:tcPr>
          <w:p w14:paraId="45C75368">
            <w:pPr>
              <w:widowControl w:val="0"/>
              <w:jc w:val="both"/>
              <w:rPr>
                <w:lang w:val="en-US"/>
              </w:rPr>
            </w:pPr>
          </w:p>
        </w:tc>
        <w:tc>
          <w:tcPr>
            <w:tcW w:w="3121" w:type="pct"/>
            <w:noWrap/>
          </w:tcPr>
          <w:p w14:paraId="0AD7987F">
            <w:pPr>
              <w:widowControl w:val="0"/>
              <w:jc w:val="both"/>
              <w:rPr>
                <w:b/>
                <w:bCs/>
                <w:lang w:val="en-US"/>
              </w:rPr>
            </w:pPr>
            <w:r>
              <w:rPr>
                <w:b/>
                <w:bCs/>
                <w:lang w:val="en-US"/>
              </w:rPr>
              <w:t xml:space="preserve">                                    Total</w:t>
            </w:r>
          </w:p>
        </w:tc>
        <w:tc>
          <w:tcPr>
            <w:tcW w:w="724" w:type="pct"/>
            <w:noWrap/>
          </w:tcPr>
          <w:p w14:paraId="0C020034">
            <w:pPr>
              <w:widowControl w:val="0"/>
              <w:jc w:val="center"/>
              <w:rPr>
                <w:b/>
                <w:bCs/>
                <w:lang w:val="en-US"/>
              </w:rPr>
            </w:pPr>
            <w:r>
              <w:rPr>
                <w:b/>
                <w:bCs/>
                <w:lang w:val="en-US"/>
              </w:rPr>
              <w:t>24</w:t>
            </w:r>
          </w:p>
        </w:tc>
      </w:tr>
    </w:tbl>
    <w:p w14:paraId="14023DB2">
      <w:pPr>
        <w:jc w:val="both"/>
        <w:rPr>
          <w:b/>
        </w:rPr>
      </w:pPr>
    </w:p>
    <w:p w14:paraId="0A9DB2DE">
      <w:pPr>
        <w:jc w:val="both"/>
        <w:rPr>
          <w:b/>
        </w:rPr>
      </w:pPr>
      <w:r>
        <w:rPr>
          <w:b/>
        </w:rPr>
        <w:t>11. Assessment components:</w:t>
      </w:r>
    </w:p>
    <w:tbl>
      <w:tblPr>
        <w:tblStyle w:val="3"/>
        <w:tblpPr w:leftFromText="180" w:rightFromText="180" w:vertAnchor="text" w:horzAnchor="page" w:tblpX="1777" w:tblpY="224"/>
        <w:tblOverlap w:val="never"/>
        <w:tblW w:w="835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49"/>
        <w:gridCol w:w="1443"/>
        <w:gridCol w:w="1350"/>
        <w:gridCol w:w="1310"/>
        <w:gridCol w:w="1693"/>
        <w:gridCol w:w="1813"/>
      </w:tblGrid>
      <w:tr w14:paraId="1C3C8A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4" w:hRule="atLeast"/>
        </w:trPr>
        <w:tc>
          <w:tcPr>
            <w:tcW w:w="777" w:type="dxa"/>
          </w:tcPr>
          <w:p w14:paraId="5EE3B1A2">
            <w:pPr>
              <w:jc w:val="center"/>
              <w:rPr>
                <w:b/>
              </w:rPr>
            </w:pPr>
          </w:p>
          <w:p w14:paraId="60227C86">
            <w:pPr>
              <w:jc w:val="center"/>
              <w:rPr>
                <w:b/>
              </w:rPr>
            </w:pPr>
            <w:r>
              <w:rPr>
                <w:b/>
              </w:rPr>
              <w:t>S No.</w:t>
            </w:r>
          </w:p>
        </w:tc>
        <w:tc>
          <w:tcPr>
            <w:tcW w:w="1420" w:type="dxa"/>
          </w:tcPr>
          <w:p w14:paraId="2610175E">
            <w:pPr>
              <w:jc w:val="center"/>
              <w:rPr>
                <w:b/>
              </w:rPr>
            </w:pPr>
            <w:r>
              <w:rPr>
                <w:b/>
              </w:rPr>
              <w:t>Assessment</w:t>
            </w:r>
          </w:p>
          <w:p w14:paraId="525D4032">
            <w:pPr>
              <w:jc w:val="center"/>
              <w:rPr>
                <w:b/>
              </w:rPr>
            </w:pPr>
            <w:r>
              <w:rPr>
                <w:b/>
              </w:rPr>
              <w:t>Component</w:t>
            </w:r>
          </w:p>
        </w:tc>
        <w:tc>
          <w:tcPr>
            <w:tcW w:w="1260" w:type="dxa"/>
          </w:tcPr>
          <w:p w14:paraId="5E74B034">
            <w:pPr>
              <w:jc w:val="center"/>
              <w:rPr>
                <w:b/>
              </w:rPr>
            </w:pPr>
            <w:r>
              <w:rPr>
                <w:b/>
              </w:rPr>
              <w:t>Duration</w:t>
            </w:r>
          </w:p>
        </w:tc>
        <w:tc>
          <w:tcPr>
            <w:tcW w:w="1249" w:type="dxa"/>
          </w:tcPr>
          <w:p w14:paraId="3D98A643">
            <w:pPr>
              <w:jc w:val="center"/>
              <w:rPr>
                <w:b/>
              </w:rPr>
            </w:pPr>
            <w:r>
              <w:rPr>
                <w:b/>
              </w:rPr>
              <w:t>Weightage / Marks</w:t>
            </w:r>
          </w:p>
        </w:tc>
        <w:tc>
          <w:tcPr>
            <w:tcW w:w="1784" w:type="dxa"/>
          </w:tcPr>
          <w:p w14:paraId="242F3D58">
            <w:pPr>
              <w:jc w:val="center"/>
              <w:rPr>
                <w:b/>
              </w:rPr>
            </w:pPr>
            <w:r>
              <w:rPr>
                <w:b/>
              </w:rPr>
              <w:t xml:space="preserve">Time </w:t>
            </w:r>
          </w:p>
        </w:tc>
        <w:tc>
          <w:tcPr>
            <w:tcW w:w="1868" w:type="dxa"/>
          </w:tcPr>
          <w:p w14:paraId="43512D1D">
            <w:pPr>
              <w:jc w:val="center"/>
              <w:rPr>
                <w:b/>
              </w:rPr>
            </w:pPr>
            <w:r>
              <w:rPr>
                <w:b/>
              </w:rPr>
              <w:t>Nature of the Component</w:t>
            </w:r>
          </w:p>
        </w:tc>
      </w:tr>
      <w:tr w14:paraId="22E9FB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2" w:hRule="atLeast"/>
        </w:trPr>
        <w:tc>
          <w:tcPr>
            <w:tcW w:w="777" w:type="dxa"/>
            <w:vAlign w:val="center"/>
          </w:tcPr>
          <w:p w14:paraId="59A1D4B6">
            <w:pPr>
              <w:jc w:val="center"/>
            </w:pPr>
            <w:r>
              <w:t>1</w:t>
            </w:r>
          </w:p>
        </w:tc>
        <w:tc>
          <w:tcPr>
            <w:tcW w:w="1420" w:type="dxa"/>
            <w:vAlign w:val="center"/>
          </w:tcPr>
          <w:p w14:paraId="306A223C">
            <w:r>
              <w:t>Mid Semester Examination</w:t>
            </w:r>
          </w:p>
        </w:tc>
        <w:tc>
          <w:tcPr>
            <w:tcW w:w="1260" w:type="dxa"/>
            <w:vAlign w:val="center"/>
          </w:tcPr>
          <w:p w14:paraId="72B022A6">
            <w:r>
              <w:t>As per the academic calendar</w:t>
            </w:r>
          </w:p>
        </w:tc>
        <w:tc>
          <w:tcPr>
            <w:tcW w:w="1249" w:type="dxa"/>
            <w:vAlign w:val="center"/>
          </w:tcPr>
          <w:p w14:paraId="6A2E25C0">
            <w:pPr>
              <w:jc w:val="center"/>
            </w:pPr>
            <w:r>
              <w:t>20</w:t>
            </w:r>
          </w:p>
        </w:tc>
        <w:tc>
          <w:tcPr>
            <w:tcW w:w="1784" w:type="dxa"/>
            <w:vAlign w:val="center"/>
          </w:tcPr>
          <w:p w14:paraId="076B22E0">
            <w:pPr>
              <w:suppressAutoHyphens/>
              <w:spacing w:before="40" w:after="60"/>
              <w:jc w:val="center"/>
              <w:rPr>
                <w:spacing w:val="-2"/>
              </w:rPr>
            </w:pPr>
            <w:r>
              <w:rPr>
                <w:spacing w:val="-2"/>
              </w:rPr>
              <w:t>90 Minutes</w:t>
            </w:r>
          </w:p>
        </w:tc>
        <w:tc>
          <w:tcPr>
            <w:tcW w:w="1868" w:type="dxa"/>
            <w:vAlign w:val="center"/>
          </w:tcPr>
          <w:p w14:paraId="3425A2F9">
            <w:pPr>
              <w:jc w:val="center"/>
            </w:pPr>
            <w:r>
              <w:t>Closed Book</w:t>
            </w:r>
          </w:p>
        </w:tc>
      </w:tr>
      <w:tr w14:paraId="41C164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2" w:hRule="atLeast"/>
        </w:trPr>
        <w:tc>
          <w:tcPr>
            <w:tcW w:w="777" w:type="dxa"/>
            <w:vAlign w:val="center"/>
          </w:tcPr>
          <w:p w14:paraId="056BF807">
            <w:pPr>
              <w:jc w:val="center"/>
            </w:pPr>
            <w:r>
              <w:t>2</w:t>
            </w:r>
          </w:p>
        </w:tc>
        <w:tc>
          <w:tcPr>
            <w:tcW w:w="1420" w:type="dxa"/>
            <w:vAlign w:val="center"/>
          </w:tcPr>
          <w:p w14:paraId="1A16E103">
            <w:r>
              <w:t>End Semester Examination</w:t>
            </w:r>
          </w:p>
        </w:tc>
        <w:tc>
          <w:tcPr>
            <w:tcW w:w="1260" w:type="dxa"/>
            <w:vAlign w:val="center"/>
          </w:tcPr>
          <w:p w14:paraId="7AC2F9F7">
            <w:r>
              <w:t>As per the academic calendar</w:t>
            </w:r>
          </w:p>
        </w:tc>
        <w:tc>
          <w:tcPr>
            <w:tcW w:w="1249" w:type="dxa"/>
            <w:vAlign w:val="center"/>
          </w:tcPr>
          <w:p w14:paraId="24FC7CAE">
            <w:pPr>
              <w:jc w:val="center"/>
            </w:pPr>
            <w:r>
              <w:t>50</w:t>
            </w:r>
          </w:p>
        </w:tc>
        <w:tc>
          <w:tcPr>
            <w:tcW w:w="1784" w:type="dxa"/>
            <w:vAlign w:val="center"/>
          </w:tcPr>
          <w:p w14:paraId="0547F41C">
            <w:pPr>
              <w:suppressAutoHyphens/>
              <w:spacing w:before="40" w:after="60"/>
              <w:jc w:val="center"/>
              <w:rPr>
                <w:spacing w:val="-2"/>
              </w:rPr>
            </w:pPr>
            <w:r>
              <w:rPr>
                <w:spacing w:val="-2"/>
              </w:rPr>
              <w:t>3 Hours</w:t>
            </w:r>
          </w:p>
        </w:tc>
        <w:tc>
          <w:tcPr>
            <w:tcW w:w="1868" w:type="dxa"/>
            <w:vAlign w:val="center"/>
          </w:tcPr>
          <w:p w14:paraId="346C81EE">
            <w:pPr>
              <w:jc w:val="center"/>
            </w:pPr>
            <w:r>
              <w:t>Closed Book</w:t>
            </w:r>
          </w:p>
        </w:tc>
      </w:tr>
      <w:tr w14:paraId="680AD5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37" w:hRule="atLeast"/>
        </w:trPr>
        <w:tc>
          <w:tcPr>
            <w:tcW w:w="777" w:type="dxa"/>
            <w:vAlign w:val="center"/>
          </w:tcPr>
          <w:p w14:paraId="33319379">
            <w:pPr>
              <w:jc w:val="center"/>
            </w:pPr>
            <w:r>
              <w:t>3</w:t>
            </w:r>
          </w:p>
        </w:tc>
        <w:tc>
          <w:tcPr>
            <w:tcW w:w="1420" w:type="dxa"/>
            <w:vAlign w:val="center"/>
          </w:tcPr>
          <w:p w14:paraId="0FF356F6">
            <w:pPr>
              <w:rPr>
                <w:b/>
              </w:rPr>
            </w:pPr>
            <w:r>
              <w:rPr>
                <w:b/>
              </w:rPr>
              <w:t>Active learning activities:</w:t>
            </w:r>
          </w:p>
          <w:p w14:paraId="055BD238">
            <w:r>
              <w:t>Problem solving / Critical thinking / Creation / Interactivity focus / Quiz / reflection</w:t>
            </w:r>
          </w:p>
        </w:tc>
        <w:tc>
          <w:tcPr>
            <w:tcW w:w="1260" w:type="dxa"/>
            <w:vAlign w:val="center"/>
          </w:tcPr>
          <w:p w14:paraId="2E9C6053">
            <w:r>
              <w:t>Throughout the semester as per the schedule specified in the lesson plan</w:t>
            </w:r>
          </w:p>
        </w:tc>
        <w:tc>
          <w:tcPr>
            <w:tcW w:w="1249" w:type="dxa"/>
            <w:vAlign w:val="center"/>
          </w:tcPr>
          <w:p w14:paraId="4028098C">
            <w:pPr>
              <w:jc w:val="center"/>
            </w:pPr>
            <w:r>
              <w:t>30</w:t>
            </w:r>
          </w:p>
        </w:tc>
        <w:tc>
          <w:tcPr>
            <w:tcW w:w="1784" w:type="dxa"/>
            <w:vAlign w:val="center"/>
          </w:tcPr>
          <w:p w14:paraId="5B031EF1">
            <w:pPr>
              <w:jc w:val="center"/>
            </w:pPr>
            <w:r>
              <w:t>Specified in the lesson plan</w:t>
            </w:r>
          </w:p>
        </w:tc>
        <w:tc>
          <w:tcPr>
            <w:tcW w:w="1868" w:type="dxa"/>
            <w:vAlign w:val="center"/>
          </w:tcPr>
          <w:p w14:paraId="21C6F0A6">
            <w:pPr>
              <w:jc w:val="center"/>
            </w:pPr>
            <w:r>
              <w:t>Open Book/Closed Book</w:t>
            </w:r>
          </w:p>
        </w:tc>
      </w:tr>
    </w:tbl>
    <w:p w14:paraId="3974A6D8">
      <w:pPr>
        <w:jc w:val="both"/>
        <w:rPr>
          <w:b/>
        </w:rPr>
      </w:pPr>
    </w:p>
    <w:p w14:paraId="550E32AA">
      <w:pPr>
        <w:jc w:val="both"/>
        <w:rPr>
          <w:b/>
          <w:bCs/>
        </w:rPr>
      </w:pPr>
      <w:r>
        <w:rPr>
          <w:b/>
        </w:rPr>
        <w:t>12. Assessment plan for active learning activities:</w:t>
      </w:r>
    </w:p>
    <w:p w14:paraId="1CBA7F2D">
      <w:pPr>
        <w:jc w:val="both"/>
        <w:rPr>
          <w:b/>
          <w:highlight w:val="yellow"/>
        </w:rPr>
      </w:pPr>
    </w:p>
    <w:tbl>
      <w:tblPr>
        <w:tblStyle w:val="3"/>
        <w:tblW w:w="862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28"/>
        <w:gridCol w:w="1628"/>
        <w:gridCol w:w="1105"/>
        <w:gridCol w:w="1290"/>
        <w:gridCol w:w="2030"/>
        <w:gridCol w:w="1845"/>
      </w:tblGrid>
      <w:tr w14:paraId="481B7A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7" w:hRule="atLeast"/>
          <w:jc w:val="center"/>
        </w:trPr>
        <w:tc>
          <w:tcPr>
            <w:tcW w:w="728" w:type="dxa"/>
            <w:vAlign w:val="center"/>
          </w:tcPr>
          <w:p w14:paraId="39AD9C8B">
            <w:pPr>
              <w:jc w:val="center"/>
            </w:pPr>
          </w:p>
          <w:p w14:paraId="545B4701">
            <w:pPr>
              <w:jc w:val="center"/>
            </w:pPr>
            <w:r>
              <w:t>S No</w:t>
            </w:r>
          </w:p>
        </w:tc>
        <w:tc>
          <w:tcPr>
            <w:tcW w:w="1628" w:type="dxa"/>
            <w:vAlign w:val="center"/>
          </w:tcPr>
          <w:p w14:paraId="4CBFC848">
            <w:pPr>
              <w:jc w:val="center"/>
            </w:pPr>
            <w:r>
              <w:t>Active learning Assessment</w:t>
            </w:r>
          </w:p>
          <w:p w14:paraId="7473409A">
            <w:pPr>
              <w:jc w:val="center"/>
            </w:pPr>
            <w:r>
              <w:t>Component</w:t>
            </w:r>
          </w:p>
        </w:tc>
        <w:tc>
          <w:tcPr>
            <w:tcW w:w="1105" w:type="dxa"/>
            <w:vAlign w:val="center"/>
          </w:tcPr>
          <w:p w14:paraId="04825AF8">
            <w:pPr>
              <w:jc w:val="center"/>
            </w:pPr>
            <w:r>
              <w:t>Duration</w:t>
            </w:r>
          </w:p>
        </w:tc>
        <w:tc>
          <w:tcPr>
            <w:tcW w:w="1290" w:type="dxa"/>
            <w:vAlign w:val="center"/>
          </w:tcPr>
          <w:p w14:paraId="17E89BDC">
            <w:pPr>
              <w:jc w:val="center"/>
            </w:pPr>
            <w:r>
              <w:t>Weightage / Marks</w:t>
            </w:r>
          </w:p>
        </w:tc>
        <w:tc>
          <w:tcPr>
            <w:tcW w:w="2030" w:type="dxa"/>
            <w:vAlign w:val="center"/>
          </w:tcPr>
          <w:p w14:paraId="51B01080">
            <w:pPr>
              <w:jc w:val="center"/>
            </w:pPr>
            <w:r>
              <w:t>Date and Time</w:t>
            </w:r>
          </w:p>
        </w:tc>
        <w:tc>
          <w:tcPr>
            <w:tcW w:w="1845" w:type="dxa"/>
            <w:vAlign w:val="center"/>
          </w:tcPr>
          <w:p w14:paraId="6A75E693">
            <w:pPr>
              <w:jc w:val="center"/>
            </w:pPr>
            <w:r>
              <w:t>Nature of the Component</w:t>
            </w:r>
          </w:p>
        </w:tc>
      </w:tr>
      <w:tr w14:paraId="2B3B61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2" w:hRule="atLeast"/>
          <w:jc w:val="center"/>
        </w:trPr>
        <w:tc>
          <w:tcPr>
            <w:tcW w:w="728" w:type="dxa"/>
            <w:vAlign w:val="center"/>
          </w:tcPr>
          <w:p w14:paraId="613F3B68">
            <w:pPr>
              <w:jc w:val="center"/>
            </w:pPr>
          </w:p>
          <w:p w14:paraId="51D6F3D3">
            <w:pPr>
              <w:jc w:val="center"/>
            </w:pPr>
            <w:r>
              <w:t>1</w:t>
            </w:r>
          </w:p>
        </w:tc>
        <w:tc>
          <w:tcPr>
            <w:tcW w:w="1628" w:type="dxa"/>
            <w:vAlign w:val="center"/>
          </w:tcPr>
          <w:p w14:paraId="3E54C6D6">
            <w:pPr>
              <w:jc w:val="center"/>
            </w:pPr>
            <w:r>
              <w:t>Interactive focus</w:t>
            </w:r>
          </w:p>
        </w:tc>
        <w:tc>
          <w:tcPr>
            <w:tcW w:w="1105" w:type="dxa"/>
            <w:vMerge w:val="restart"/>
            <w:vAlign w:val="center"/>
          </w:tcPr>
          <w:p w14:paraId="555CC9C5">
            <w:pPr>
              <w:jc w:val="center"/>
            </w:pPr>
            <w:r>
              <w:t>specified in the lesson plan</w:t>
            </w:r>
          </w:p>
        </w:tc>
        <w:tc>
          <w:tcPr>
            <w:tcW w:w="1290" w:type="dxa"/>
            <w:vMerge w:val="restart"/>
            <w:vAlign w:val="center"/>
          </w:tcPr>
          <w:p w14:paraId="63B57616">
            <w:pPr>
              <w:jc w:val="center"/>
            </w:pPr>
            <w:r>
              <w:t>12</w:t>
            </w:r>
          </w:p>
        </w:tc>
        <w:tc>
          <w:tcPr>
            <w:tcW w:w="2030" w:type="dxa"/>
            <w:vMerge w:val="restart"/>
            <w:vAlign w:val="center"/>
          </w:tcPr>
          <w:p w14:paraId="43801CEF">
            <w:pPr>
              <w:jc w:val="center"/>
            </w:pPr>
            <w:r>
              <w:t>Throughout the Semester</w:t>
            </w:r>
          </w:p>
        </w:tc>
        <w:tc>
          <w:tcPr>
            <w:tcW w:w="1845" w:type="dxa"/>
            <w:vAlign w:val="center"/>
          </w:tcPr>
          <w:p w14:paraId="24E2C8BB">
            <w:pPr>
              <w:jc w:val="center"/>
            </w:pPr>
            <w:r>
              <w:t>Presentation</w:t>
            </w:r>
          </w:p>
        </w:tc>
      </w:tr>
      <w:tr w14:paraId="096E3E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7" w:hRule="atLeast"/>
          <w:jc w:val="center"/>
        </w:trPr>
        <w:tc>
          <w:tcPr>
            <w:tcW w:w="728" w:type="dxa"/>
            <w:vAlign w:val="center"/>
          </w:tcPr>
          <w:p w14:paraId="2017AAB0">
            <w:pPr>
              <w:jc w:val="center"/>
            </w:pPr>
            <w:r>
              <w:t>2</w:t>
            </w:r>
          </w:p>
        </w:tc>
        <w:tc>
          <w:tcPr>
            <w:tcW w:w="1628" w:type="dxa"/>
            <w:vAlign w:val="center"/>
          </w:tcPr>
          <w:p w14:paraId="46FBF735">
            <w:pPr>
              <w:jc w:val="center"/>
            </w:pPr>
            <w:r>
              <w:t>Critical thinking</w:t>
            </w:r>
          </w:p>
        </w:tc>
        <w:tc>
          <w:tcPr>
            <w:tcW w:w="1105" w:type="dxa"/>
            <w:vMerge w:val="continue"/>
            <w:vAlign w:val="center"/>
          </w:tcPr>
          <w:p w14:paraId="4B477ADA">
            <w:pPr>
              <w:jc w:val="center"/>
            </w:pPr>
          </w:p>
        </w:tc>
        <w:tc>
          <w:tcPr>
            <w:tcW w:w="1290" w:type="dxa"/>
            <w:vMerge w:val="continue"/>
            <w:vAlign w:val="center"/>
          </w:tcPr>
          <w:p w14:paraId="1040EBCB">
            <w:pPr>
              <w:jc w:val="center"/>
            </w:pPr>
          </w:p>
        </w:tc>
        <w:tc>
          <w:tcPr>
            <w:tcW w:w="2030" w:type="dxa"/>
            <w:vMerge w:val="continue"/>
            <w:vAlign w:val="center"/>
          </w:tcPr>
          <w:p w14:paraId="25A2821F">
            <w:pPr>
              <w:jc w:val="center"/>
            </w:pPr>
          </w:p>
        </w:tc>
        <w:tc>
          <w:tcPr>
            <w:tcW w:w="1845" w:type="dxa"/>
            <w:vAlign w:val="center"/>
          </w:tcPr>
          <w:p w14:paraId="66669BA7">
            <w:pPr>
              <w:jc w:val="center"/>
            </w:pPr>
            <w:r>
              <w:t>Report</w:t>
            </w:r>
          </w:p>
        </w:tc>
      </w:tr>
      <w:tr w14:paraId="1DB2CF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7" w:hRule="atLeast"/>
          <w:jc w:val="center"/>
        </w:trPr>
        <w:tc>
          <w:tcPr>
            <w:tcW w:w="728" w:type="dxa"/>
            <w:vAlign w:val="center"/>
          </w:tcPr>
          <w:p w14:paraId="65718541">
            <w:pPr>
              <w:jc w:val="center"/>
            </w:pPr>
            <w:r>
              <w:t>3</w:t>
            </w:r>
          </w:p>
        </w:tc>
        <w:tc>
          <w:tcPr>
            <w:tcW w:w="1628" w:type="dxa"/>
            <w:vAlign w:val="center"/>
          </w:tcPr>
          <w:p w14:paraId="4F12096C">
            <w:pPr>
              <w:jc w:val="center"/>
            </w:pPr>
            <w:r>
              <w:t>Creation</w:t>
            </w:r>
          </w:p>
        </w:tc>
        <w:tc>
          <w:tcPr>
            <w:tcW w:w="1105" w:type="dxa"/>
            <w:vMerge w:val="continue"/>
            <w:vAlign w:val="center"/>
          </w:tcPr>
          <w:p w14:paraId="020042EA">
            <w:pPr>
              <w:jc w:val="center"/>
            </w:pPr>
          </w:p>
        </w:tc>
        <w:tc>
          <w:tcPr>
            <w:tcW w:w="1290" w:type="dxa"/>
            <w:vMerge w:val="continue"/>
            <w:vAlign w:val="center"/>
          </w:tcPr>
          <w:p w14:paraId="5F13B3D8">
            <w:pPr>
              <w:jc w:val="center"/>
            </w:pPr>
          </w:p>
        </w:tc>
        <w:tc>
          <w:tcPr>
            <w:tcW w:w="2030" w:type="dxa"/>
            <w:vMerge w:val="continue"/>
            <w:vAlign w:val="center"/>
          </w:tcPr>
          <w:p w14:paraId="11E73F17">
            <w:pPr>
              <w:jc w:val="center"/>
            </w:pPr>
          </w:p>
        </w:tc>
        <w:tc>
          <w:tcPr>
            <w:tcW w:w="1845" w:type="dxa"/>
            <w:vAlign w:val="center"/>
          </w:tcPr>
          <w:p w14:paraId="6F6C02C2">
            <w:pPr>
              <w:jc w:val="center"/>
            </w:pPr>
            <w:r>
              <w:t>Report/Model</w:t>
            </w:r>
          </w:p>
        </w:tc>
      </w:tr>
      <w:tr w14:paraId="4B2D14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2" w:hRule="atLeast"/>
          <w:jc w:val="center"/>
        </w:trPr>
        <w:tc>
          <w:tcPr>
            <w:tcW w:w="728" w:type="dxa"/>
            <w:vAlign w:val="center"/>
          </w:tcPr>
          <w:p w14:paraId="6FD03C0A">
            <w:pPr>
              <w:jc w:val="center"/>
            </w:pPr>
            <w:r>
              <w:t>4</w:t>
            </w:r>
          </w:p>
        </w:tc>
        <w:tc>
          <w:tcPr>
            <w:tcW w:w="1628" w:type="dxa"/>
            <w:vAlign w:val="center"/>
          </w:tcPr>
          <w:p w14:paraId="229C4F36">
            <w:pPr>
              <w:jc w:val="center"/>
            </w:pPr>
            <w:r>
              <w:t>Assignment</w:t>
            </w:r>
          </w:p>
        </w:tc>
        <w:tc>
          <w:tcPr>
            <w:tcW w:w="1105" w:type="dxa"/>
            <w:vMerge w:val="continue"/>
            <w:vAlign w:val="center"/>
          </w:tcPr>
          <w:p w14:paraId="61977C98">
            <w:pPr>
              <w:jc w:val="center"/>
            </w:pPr>
          </w:p>
        </w:tc>
        <w:tc>
          <w:tcPr>
            <w:tcW w:w="1290" w:type="dxa"/>
            <w:vAlign w:val="center"/>
          </w:tcPr>
          <w:p w14:paraId="0B93B2FB">
            <w:pPr>
              <w:jc w:val="center"/>
            </w:pPr>
            <w:r>
              <w:t>12</w:t>
            </w:r>
          </w:p>
        </w:tc>
        <w:tc>
          <w:tcPr>
            <w:tcW w:w="2030" w:type="dxa"/>
            <w:vMerge w:val="continue"/>
            <w:vAlign w:val="center"/>
          </w:tcPr>
          <w:p w14:paraId="3C45FFE8">
            <w:pPr>
              <w:jc w:val="center"/>
            </w:pPr>
          </w:p>
        </w:tc>
        <w:tc>
          <w:tcPr>
            <w:tcW w:w="1845" w:type="dxa"/>
            <w:vAlign w:val="center"/>
          </w:tcPr>
          <w:p w14:paraId="64772E03">
            <w:pPr>
              <w:jc w:val="center"/>
            </w:pPr>
            <w:r>
              <w:t>Individual submission</w:t>
            </w:r>
          </w:p>
        </w:tc>
      </w:tr>
      <w:tr w14:paraId="5C40BA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7" w:hRule="atLeast"/>
          <w:jc w:val="center"/>
        </w:trPr>
        <w:tc>
          <w:tcPr>
            <w:tcW w:w="728" w:type="dxa"/>
            <w:vAlign w:val="center"/>
          </w:tcPr>
          <w:p w14:paraId="1B881719">
            <w:pPr>
              <w:jc w:val="center"/>
            </w:pPr>
            <w:r>
              <w:t>5</w:t>
            </w:r>
          </w:p>
        </w:tc>
        <w:tc>
          <w:tcPr>
            <w:tcW w:w="1628" w:type="dxa"/>
            <w:vAlign w:val="center"/>
          </w:tcPr>
          <w:p w14:paraId="4EEAD580">
            <w:pPr>
              <w:jc w:val="center"/>
            </w:pPr>
            <w:r>
              <w:t>Quiz</w:t>
            </w:r>
          </w:p>
        </w:tc>
        <w:tc>
          <w:tcPr>
            <w:tcW w:w="1105" w:type="dxa"/>
            <w:vAlign w:val="center"/>
          </w:tcPr>
          <w:p w14:paraId="220D6AEA">
            <w:pPr>
              <w:jc w:val="center"/>
            </w:pPr>
            <w:r>
              <w:t>1 hour</w:t>
            </w:r>
          </w:p>
        </w:tc>
        <w:tc>
          <w:tcPr>
            <w:tcW w:w="1290" w:type="dxa"/>
            <w:vAlign w:val="center"/>
          </w:tcPr>
          <w:p w14:paraId="77CB5D8F">
            <w:pPr>
              <w:jc w:val="center"/>
            </w:pPr>
            <w:r>
              <w:t>6</w:t>
            </w:r>
          </w:p>
        </w:tc>
        <w:tc>
          <w:tcPr>
            <w:tcW w:w="2030" w:type="dxa"/>
            <w:vAlign w:val="center"/>
          </w:tcPr>
          <w:p w14:paraId="4FD12CE3">
            <w:pPr>
              <w:jc w:val="center"/>
            </w:pPr>
            <w:r>
              <w:t>As per lesson plan</w:t>
            </w:r>
          </w:p>
        </w:tc>
        <w:tc>
          <w:tcPr>
            <w:tcW w:w="1845" w:type="dxa"/>
            <w:vAlign w:val="center"/>
          </w:tcPr>
          <w:p w14:paraId="26B3D6B6">
            <w:pPr>
              <w:jc w:val="center"/>
            </w:pPr>
            <w:r>
              <w:t>Test/Exam</w:t>
            </w:r>
          </w:p>
        </w:tc>
      </w:tr>
    </w:tbl>
    <w:p w14:paraId="3FFA0295">
      <w:pPr>
        <w:jc w:val="both"/>
        <w:rPr>
          <w:b/>
        </w:rPr>
      </w:pPr>
    </w:p>
    <w:p w14:paraId="7B4F2E88">
      <w:pPr>
        <w:jc w:val="both"/>
      </w:pPr>
      <w:r>
        <w:rPr>
          <w:b/>
        </w:rPr>
        <w:t xml:space="preserve">13. Attendance: </w:t>
      </w:r>
      <w:r>
        <w:t>Every student is expected to be regular (in attendance) in all lecture classes, tutorials, labs, tests, quizzes, seminars etc and in fulfilling all tasks assigned to him / her. Attendance will be recorded and 75% attendance is compulsory.</w:t>
      </w:r>
    </w:p>
    <w:p w14:paraId="20BF4F19">
      <w:pPr>
        <w:jc w:val="both"/>
      </w:pPr>
    </w:p>
    <w:p w14:paraId="7D963B53">
      <w:pPr>
        <w:spacing w:line="360" w:lineRule="auto"/>
        <w:jc w:val="both"/>
        <w:rPr>
          <w:i/>
          <w:color w:val="000000"/>
        </w:rPr>
      </w:pPr>
      <w:r>
        <w:rPr>
          <w:b/>
        </w:rPr>
        <w:t>14. Chamber consultation hour for doubts clarification:</w:t>
      </w:r>
      <w:r>
        <w:t xml:space="preserve"> Monday-Friday (</w:t>
      </w:r>
      <w:r>
        <w:rPr>
          <w:rFonts w:hint="default"/>
          <w:lang w:val="en-US"/>
        </w:rPr>
        <w:t>8</w:t>
      </w:r>
      <w:r>
        <w:t xml:space="preserve"> </w:t>
      </w:r>
      <w:r>
        <w:rPr>
          <w:rFonts w:hint="default"/>
          <w:lang w:val="en-US"/>
        </w:rPr>
        <w:t>a</w:t>
      </w:r>
      <w:r>
        <w:t xml:space="preserve">m to </w:t>
      </w:r>
      <w:r>
        <w:rPr>
          <w:rFonts w:hint="default"/>
          <w:lang w:val="en-US"/>
        </w:rPr>
        <w:t>6</w:t>
      </w:r>
      <w:r>
        <w:t xml:space="preserve"> pm)</w:t>
      </w:r>
    </w:p>
    <w:p w14:paraId="2E764CB6">
      <w:pPr>
        <w:ind w:left="426" w:hanging="426"/>
        <w:jc w:val="both"/>
      </w:pPr>
    </w:p>
    <w:p w14:paraId="40265202">
      <w:pPr>
        <w:ind w:left="426" w:hanging="426"/>
        <w:jc w:val="both"/>
      </w:pPr>
    </w:p>
    <w:p w14:paraId="39393BD5">
      <w:pPr>
        <w:ind w:left="426" w:hanging="426"/>
        <w:jc w:val="both"/>
      </w:pPr>
    </w:p>
    <w:p w14:paraId="61B03710">
      <w:pPr>
        <w:ind w:left="426" w:hanging="426"/>
        <w:jc w:val="both"/>
      </w:pPr>
    </w:p>
    <w:p w14:paraId="7A6A5DE9">
      <w:pPr>
        <w:spacing w:line="360" w:lineRule="auto"/>
        <w:ind w:left="426" w:hanging="426"/>
        <w:jc w:val="both"/>
      </w:pPr>
    </w:p>
    <w:p w14:paraId="48C324CB">
      <w:pPr>
        <w:spacing w:line="360" w:lineRule="auto"/>
        <w:ind w:left="1662" w:hanging="1657" w:hangingChars="690"/>
        <w:jc w:val="right"/>
        <w:rPr>
          <w:rFonts w:hint="default"/>
          <w:b/>
          <w:bCs/>
          <w:lang w:val="en-US"/>
        </w:rPr>
      </w:pPr>
      <w:r>
        <w:rPr>
          <w:b/>
          <w:bCs/>
        </w:rPr>
        <w:t xml:space="preserve">                                                                                             </w:t>
      </w:r>
      <w:r>
        <w:rPr>
          <w:rFonts w:hint="default"/>
          <w:b/>
          <w:bCs/>
          <w:lang w:val="en-US"/>
        </w:rPr>
        <w:t>Mr. Pradeep Kandula</w:t>
      </w:r>
    </w:p>
    <w:p w14:paraId="50DDA1D7">
      <w:pPr>
        <w:spacing w:line="360" w:lineRule="auto"/>
        <w:ind w:left="1662" w:hanging="1657" w:hangingChars="690"/>
        <w:jc w:val="right"/>
        <w:rPr>
          <w:rFonts w:hint="default"/>
          <w:b/>
          <w:bCs/>
          <w:lang w:val="en-US"/>
        </w:rPr>
      </w:pPr>
      <w:r>
        <w:rPr>
          <w:b/>
          <w:bCs/>
        </w:rPr>
        <w:t>Mobile: 8</w:t>
      </w:r>
      <w:r>
        <w:rPr>
          <w:rFonts w:hint="default"/>
          <w:b/>
          <w:bCs/>
          <w:lang w:val="en-US"/>
        </w:rPr>
        <w:t>984266460</w:t>
      </w:r>
      <w:bookmarkStart w:id="0" w:name="_GoBack"/>
      <w:bookmarkEnd w:id="0"/>
    </w:p>
    <w:p w14:paraId="6196861A">
      <w:pPr>
        <w:jc w:val="right"/>
        <w:rPr>
          <w:b/>
          <w:bCs/>
        </w:rPr>
      </w:pPr>
    </w:p>
    <w:p w14:paraId="66A37AD8">
      <w:pPr>
        <w:jc w:val="right"/>
        <w:rPr>
          <w:b/>
          <w:bCs/>
        </w:rPr>
      </w:pPr>
    </w:p>
    <w:p w14:paraId="28ACA3C9">
      <w:pPr>
        <w:jc w:val="center"/>
        <w:rPr>
          <w:b/>
        </w:rPr>
      </w:pPr>
    </w:p>
    <w:sectPr>
      <w:pgSz w:w="11906" w:h="16838"/>
      <w:pgMar w:top="720" w:right="1797" w:bottom="900" w:left="1800" w:header="709" w:footer="709" w:gutter="0"/>
      <w:cols w:space="708"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4A10D07"/>
    <w:multiLevelType w:val="multilevel"/>
    <w:tmpl w:val="14A10D07"/>
    <w:lvl w:ilvl="0" w:tentative="0">
      <w:start w:val="1"/>
      <w:numFmt w:val="decimal"/>
      <w:lvlText w:val="%1."/>
      <w:lvlJc w:val="left"/>
      <w:pPr>
        <w:ind w:left="720" w:hanging="360"/>
      </w:pPr>
      <w:rPr>
        <w:b/>
        <w:bCs w:val="0"/>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720"/>
  <w:noPunctuationKerning w:val="1"/>
  <w:characterSpacingControl w:val="doNotCompress"/>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D4DEC"/>
    <w:rsid w:val="00001190"/>
    <w:rsid w:val="0000437E"/>
    <w:rsid w:val="00007C17"/>
    <w:rsid w:val="00007EBC"/>
    <w:rsid w:val="00012D60"/>
    <w:rsid w:val="00013259"/>
    <w:rsid w:val="000204C0"/>
    <w:rsid w:val="0003200D"/>
    <w:rsid w:val="00041906"/>
    <w:rsid w:val="00047912"/>
    <w:rsid w:val="00051590"/>
    <w:rsid w:val="000532CD"/>
    <w:rsid w:val="00053D7D"/>
    <w:rsid w:val="00055B89"/>
    <w:rsid w:val="00062C5F"/>
    <w:rsid w:val="00071ACA"/>
    <w:rsid w:val="00075BC0"/>
    <w:rsid w:val="00077B36"/>
    <w:rsid w:val="00084A12"/>
    <w:rsid w:val="00087E15"/>
    <w:rsid w:val="000A1F84"/>
    <w:rsid w:val="000A2DAA"/>
    <w:rsid w:val="000A73AC"/>
    <w:rsid w:val="000A7819"/>
    <w:rsid w:val="000B5C08"/>
    <w:rsid w:val="000B7959"/>
    <w:rsid w:val="000C47B4"/>
    <w:rsid w:val="000D27E0"/>
    <w:rsid w:val="000D3D00"/>
    <w:rsid w:val="000E1B25"/>
    <w:rsid w:val="000F0847"/>
    <w:rsid w:val="000F2D2B"/>
    <w:rsid w:val="000F42CE"/>
    <w:rsid w:val="000F6DD6"/>
    <w:rsid w:val="0010190A"/>
    <w:rsid w:val="001028F0"/>
    <w:rsid w:val="00106FC7"/>
    <w:rsid w:val="0011632A"/>
    <w:rsid w:val="00121FFD"/>
    <w:rsid w:val="0012403E"/>
    <w:rsid w:val="00125F4E"/>
    <w:rsid w:val="00126420"/>
    <w:rsid w:val="00126C37"/>
    <w:rsid w:val="00130966"/>
    <w:rsid w:val="00131521"/>
    <w:rsid w:val="00132773"/>
    <w:rsid w:val="00133BEB"/>
    <w:rsid w:val="00134266"/>
    <w:rsid w:val="0014246F"/>
    <w:rsid w:val="001474A4"/>
    <w:rsid w:val="00163E88"/>
    <w:rsid w:val="001677A4"/>
    <w:rsid w:val="001A33FB"/>
    <w:rsid w:val="001A5540"/>
    <w:rsid w:val="001C3E9D"/>
    <w:rsid w:val="001C6CE5"/>
    <w:rsid w:val="001E0707"/>
    <w:rsid w:val="001E2F78"/>
    <w:rsid w:val="001E4052"/>
    <w:rsid w:val="001E62B5"/>
    <w:rsid w:val="002047AC"/>
    <w:rsid w:val="00205E8A"/>
    <w:rsid w:val="002157E6"/>
    <w:rsid w:val="00217BF3"/>
    <w:rsid w:val="002230CA"/>
    <w:rsid w:val="002333C6"/>
    <w:rsid w:val="002345C3"/>
    <w:rsid w:val="00260847"/>
    <w:rsid w:val="002614ED"/>
    <w:rsid w:val="002632D7"/>
    <w:rsid w:val="002672D3"/>
    <w:rsid w:val="002778D4"/>
    <w:rsid w:val="00277F04"/>
    <w:rsid w:val="0028164A"/>
    <w:rsid w:val="00283B3E"/>
    <w:rsid w:val="00293871"/>
    <w:rsid w:val="002A5C26"/>
    <w:rsid w:val="002B547D"/>
    <w:rsid w:val="002C2D14"/>
    <w:rsid w:val="002E2BA3"/>
    <w:rsid w:val="00300848"/>
    <w:rsid w:val="003008CF"/>
    <w:rsid w:val="00307666"/>
    <w:rsid w:val="003103AD"/>
    <w:rsid w:val="00313BEF"/>
    <w:rsid w:val="00316EA4"/>
    <w:rsid w:val="003175DB"/>
    <w:rsid w:val="0032025E"/>
    <w:rsid w:val="003205F7"/>
    <w:rsid w:val="003227E4"/>
    <w:rsid w:val="00324723"/>
    <w:rsid w:val="00330A30"/>
    <w:rsid w:val="003354BD"/>
    <w:rsid w:val="00335CBA"/>
    <w:rsid w:val="00336F14"/>
    <w:rsid w:val="003413D7"/>
    <w:rsid w:val="0034277A"/>
    <w:rsid w:val="00342C04"/>
    <w:rsid w:val="00344A1C"/>
    <w:rsid w:val="0034556F"/>
    <w:rsid w:val="00366487"/>
    <w:rsid w:val="0036685F"/>
    <w:rsid w:val="00373081"/>
    <w:rsid w:val="003758E2"/>
    <w:rsid w:val="00381791"/>
    <w:rsid w:val="0038584E"/>
    <w:rsid w:val="003907CA"/>
    <w:rsid w:val="00391726"/>
    <w:rsid w:val="00391CC3"/>
    <w:rsid w:val="00393B8F"/>
    <w:rsid w:val="00394620"/>
    <w:rsid w:val="00396AE2"/>
    <w:rsid w:val="003A0480"/>
    <w:rsid w:val="003B1204"/>
    <w:rsid w:val="003B51F5"/>
    <w:rsid w:val="003B637D"/>
    <w:rsid w:val="003B767F"/>
    <w:rsid w:val="003D0063"/>
    <w:rsid w:val="003D5DCE"/>
    <w:rsid w:val="003E0E17"/>
    <w:rsid w:val="003E7F8B"/>
    <w:rsid w:val="003F1E4D"/>
    <w:rsid w:val="003F6B7E"/>
    <w:rsid w:val="004007FD"/>
    <w:rsid w:val="00401510"/>
    <w:rsid w:val="004023B2"/>
    <w:rsid w:val="00402732"/>
    <w:rsid w:val="00407FCB"/>
    <w:rsid w:val="0041084F"/>
    <w:rsid w:val="00411176"/>
    <w:rsid w:val="004114CC"/>
    <w:rsid w:val="00416F08"/>
    <w:rsid w:val="00420632"/>
    <w:rsid w:val="00425587"/>
    <w:rsid w:val="00427AC8"/>
    <w:rsid w:val="004305EE"/>
    <w:rsid w:val="00433DBC"/>
    <w:rsid w:val="00434305"/>
    <w:rsid w:val="00437203"/>
    <w:rsid w:val="004423C9"/>
    <w:rsid w:val="004503BD"/>
    <w:rsid w:val="00456E7E"/>
    <w:rsid w:val="004620C1"/>
    <w:rsid w:val="00464BBE"/>
    <w:rsid w:val="00466D5A"/>
    <w:rsid w:val="004737D1"/>
    <w:rsid w:val="00494ABF"/>
    <w:rsid w:val="004A4D3D"/>
    <w:rsid w:val="004A6062"/>
    <w:rsid w:val="004B4ED4"/>
    <w:rsid w:val="004B5805"/>
    <w:rsid w:val="004C2E4B"/>
    <w:rsid w:val="004D2230"/>
    <w:rsid w:val="004D69B7"/>
    <w:rsid w:val="004E0150"/>
    <w:rsid w:val="004F23D4"/>
    <w:rsid w:val="004F2702"/>
    <w:rsid w:val="004F3847"/>
    <w:rsid w:val="004F6D20"/>
    <w:rsid w:val="00512188"/>
    <w:rsid w:val="00525FD2"/>
    <w:rsid w:val="00531CCD"/>
    <w:rsid w:val="00541B3E"/>
    <w:rsid w:val="00564A20"/>
    <w:rsid w:val="0056530D"/>
    <w:rsid w:val="00570A81"/>
    <w:rsid w:val="005838C4"/>
    <w:rsid w:val="00591DF1"/>
    <w:rsid w:val="005926D8"/>
    <w:rsid w:val="00593C22"/>
    <w:rsid w:val="005A2FC3"/>
    <w:rsid w:val="005A7A7A"/>
    <w:rsid w:val="005B0988"/>
    <w:rsid w:val="005B3210"/>
    <w:rsid w:val="005B40F4"/>
    <w:rsid w:val="005B4241"/>
    <w:rsid w:val="005B561E"/>
    <w:rsid w:val="005D4DEC"/>
    <w:rsid w:val="005D5462"/>
    <w:rsid w:val="005E2E6C"/>
    <w:rsid w:val="005F1DC2"/>
    <w:rsid w:val="005F5B94"/>
    <w:rsid w:val="006132DB"/>
    <w:rsid w:val="006138F2"/>
    <w:rsid w:val="006165B0"/>
    <w:rsid w:val="00616802"/>
    <w:rsid w:val="00622371"/>
    <w:rsid w:val="00624991"/>
    <w:rsid w:val="006259D9"/>
    <w:rsid w:val="0062693F"/>
    <w:rsid w:val="00653061"/>
    <w:rsid w:val="0065349C"/>
    <w:rsid w:val="00667AAC"/>
    <w:rsid w:val="00691BEC"/>
    <w:rsid w:val="00691F1A"/>
    <w:rsid w:val="006925CB"/>
    <w:rsid w:val="006A6620"/>
    <w:rsid w:val="006B60F1"/>
    <w:rsid w:val="006C001C"/>
    <w:rsid w:val="006C14EC"/>
    <w:rsid w:val="006C661A"/>
    <w:rsid w:val="006D0DC7"/>
    <w:rsid w:val="006D239E"/>
    <w:rsid w:val="006D64DB"/>
    <w:rsid w:val="006F6770"/>
    <w:rsid w:val="0071191C"/>
    <w:rsid w:val="007138F2"/>
    <w:rsid w:val="00722253"/>
    <w:rsid w:val="00730AD5"/>
    <w:rsid w:val="0073175D"/>
    <w:rsid w:val="00732724"/>
    <w:rsid w:val="00744C93"/>
    <w:rsid w:val="00747C92"/>
    <w:rsid w:val="00763EBD"/>
    <w:rsid w:val="00765D78"/>
    <w:rsid w:val="00770605"/>
    <w:rsid w:val="007834C3"/>
    <w:rsid w:val="00783E07"/>
    <w:rsid w:val="00791C8D"/>
    <w:rsid w:val="007A23A7"/>
    <w:rsid w:val="007A56F8"/>
    <w:rsid w:val="007B2375"/>
    <w:rsid w:val="007C167A"/>
    <w:rsid w:val="007D2095"/>
    <w:rsid w:val="007D3B61"/>
    <w:rsid w:val="007E3A3F"/>
    <w:rsid w:val="007E3F70"/>
    <w:rsid w:val="007F51B1"/>
    <w:rsid w:val="007F7B1F"/>
    <w:rsid w:val="00801B8C"/>
    <w:rsid w:val="00803B11"/>
    <w:rsid w:val="00813F3D"/>
    <w:rsid w:val="0082045B"/>
    <w:rsid w:val="008207DD"/>
    <w:rsid w:val="0082328C"/>
    <w:rsid w:val="008339E5"/>
    <w:rsid w:val="00840606"/>
    <w:rsid w:val="00852B63"/>
    <w:rsid w:val="00872BA9"/>
    <w:rsid w:val="008742CA"/>
    <w:rsid w:val="00876CA5"/>
    <w:rsid w:val="00880D4E"/>
    <w:rsid w:val="00885A03"/>
    <w:rsid w:val="00894930"/>
    <w:rsid w:val="00894B2D"/>
    <w:rsid w:val="008B06FF"/>
    <w:rsid w:val="008B0836"/>
    <w:rsid w:val="008C7AC1"/>
    <w:rsid w:val="008D322D"/>
    <w:rsid w:val="008D66A1"/>
    <w:rsid w:val="008D6AE1"/>
    <w:rsid w:val="008E1157"/>
    <w:rsid w:val="008E3ABB"/>
    <w:rsid w:val="008E3F81"/>
    <w:rsid w:val="008E4A7C"/>
    <w:rsid w:val="00900604"/>
    <w:rsid w:val="00902B5F"/>
    <w:rsid w:val="00910192"/>
    <w:rsid w:val="00913FA2"/>
    <w:rsid w:val="00915BA7"/>
    <w:rsid w:val="00923A85"/>
    <w:rsid w:val="0094039C"/>
    <w:rsid w:val="00947E9C"/>
    <w:rsid w:val="0097466B"/>
    <w:rsid w:val="009750A1"/>
    <w:rsid w:val="00980417"/>
    <w:rsid w:val="00980783"/>
    <w:rsid w:val="00980B6C"/>
    <w:rsid w:val="009977E4"/>
    <w:rsid w:val="009A19A7"/>
    <w:rsid w:val="009A47E5"/>
    <w:rsid w:val="009B2927"/>
    <w:rsid w:val="009B7931"/>
    <w:rsid w:val="009C138C"/>
    <w:rsid w:val="009C14E0"/>
    <w:rsid w:val="009C5129"/>
    <w:rsid w:val="009C7A38"/>
    <w:rsid w:val="009D70E8"/>
    <w:rsid w:val="009E1572"/>
    <w:rsid w:val="009F1B3C"/>
    <w:rsid w:val="00A061F3"/>
    <w:rsid w:val="00A06FDA"/>
    <w:rsid w:val="00A14EFE"/>
    <w:rsid w:val="00A20CFB"/>
    <w:rsid w:val="00A26C0E"/>
    <w:rsid w:val="00A26D5A"/>
    <w:rsid w:val="00A33069"/>
    <w:rsid w:val="00A34661"/>
    <w:rsid w:val="00A3696C"/>
    <w:rsid w:val="00A378CE"/>
    <w:rsid w:val="00A42DFF"/>
    <w:rsid w:val="00A50914"/>
    <w:rsid w:val="00A50B69"/>
    <w:rsid w:val="00A52090"/>
    <w:rsid w:val="00A60CC1"/>
    <w:rsid w:val="00A66D54"/>
    <w:rsid w:val="00A77010"/>
    <w:rsid w:val="00A8369E"/>
    <w:rsid w:val="00A84193"/>
    <w:rsid w:val="00A911DE"/>
    <w:rsid w:val="00AA06F9"/>
    <w:rsid w:val="00AA16CD"/>
    <w:rsid w:val="00AA2B62"/>
    <w:rsid w:val="00AC2721"/>
    <w:rsid w:val="00AC6AB7"/>
    <w:rsid w:val="00AD035A"/>
    <w:rsid w:val="00AD043A"/>
    <w:rsid w:val="00AD2A6D"/>
    <w:rsid w:val="00AF1FA1"/>
    <w:rsid w:val="00AF3B5D"/>
    <w:rsid w:val="00B00A1F"/>
    <w:rsid w:val="00B057E0"/>
    <w:rsid w:val="00B06B73"/>
    <w:rsid w:val="00B16236"/>
    <w:rsid w:val="00B247B7"/>
    <w:rsid w:val="00B251DE"/>
    <w:rsid w:val="00B254F5"/>
    <w:rsid w:val="00B27E06"/>
    <w:rsid w:val="00B53F75"/>
    <w:rsid w:val="00B62749"/>
    <w:rsid w:val="00B67915"/>
    <w:rsid w:val="00B734DD"/>
    <w:rsid w:val="00B75863"/>
    <w:rsid w:val="00BA0FFD"/>
    <w:rsid w:val="00BB003C"/>
    <w:rsid w:val="00BB1CE1"/>
    <w:rsid w:val="00BB44CF"/>
    <w:rsid w:val="00BB7CD5"/>
    <w:rsid w:val="00BC0AF4"/>
    <w:rsid w:val="00BC200D"/>
    <w:rsid w:val="00BC79B5"/>
    <w:rsid w:val="00BD3F89"/>
    <w:rsid w:val="00BD449F"/>
    <w:rsid w:val="00BE48BC"/>
    <w:rsid w:val="00BE680F"/>
    <w:rsid w:val="00C0663E"/>
    <w:rsid w:val="00C35505"/>
    <w:rsid w:val="00C40883"/>
    <w:rsid w:val="00C52B21"/>
    <w:rsid w:val="00C56018"/>
    <w:rsid w:val="00C656D1"/>
    <w:rsid w:val="00C74D1D"/>
    <w:rsid w:val="00C76049"/>
    <w:rsid w:val="00C8067C"/>
    <w:rsid w:val="00C8310F"/>
    <w:rsid w:val="00C85422"/>
    <w:rsid w:val="00C863FB"/>
    <w:rsid w:val="00C93149"/>
    <w:rsid w:val="00CA347F"/>
    <w:rsid w:val="00CA567B"/>
    <w:rsid w:val="00CA63F8"/>
    <w:rsid w:val="00CB5CF2"/>
    <w:rsid w:val="00CC1727"/>
    <w:rsid w:val="00CC7022"/>
    <w:rsid w:val="00CE4EB7"/>
    <w:rsid w:val="00D02F72"/>
    <w:rsid w:val="00D20665"/>
    <w:rsid w:val="00D2154A"/>
    <w:rsid w:val="00D21FFF"/>
    <w:rsid w:val="00D25623"/>
    <w:rsid w:val="00D31BFF"/>
    <w:rsid w:val="00D366F8"/>
    <w:rsid w:val="00D44C18"/>
    <w:rsid w:val="00D54386"/>
    <w:rsid w:val="00D657E6"/>
    <w:rsid w:val="00D71394"/>
    <w:rsid w:val="00D72467"/>
    <w:rsid w:val="00D75C50"/>
    <w:rsid w:val="00D831C2"/>
    <w:rsid w:val="00D83516"/>
    <w:rsid w:val="00D865EE"/>
    <w:rsid w:val="00DA7629"/>
    <w:rsid w:val="00DB0296"/>
    <w:rsid w:val="00DB489C"/>
    <w:rsid w:val="00DC14DF"/>
    <w:rsid w:val="00DC1D65"/>
    <w:rsid w:val="00DD14F0"/>
    <w:rsid w:val="00DD534E"/>
    <w:rsid w:val="00DD62AF"/>
    <w:rsid w:val="00DE4AC9"/>
    <w:rsid w:val="00DE6894"/>
    <w:rsid w:val="00DF5EDC"/>
    <w:rsid w:val="00E10CED"/>
    <w:rsid w:val="00E12E23"/>
    <w:rsid w:val="00E43C53"/>
    <w:rsid w:val="00E45168"/>
    <w:rsid w:val="00E547AE"/>
    <w:rsid w:val="00E672A4"/>
    <w:rsid w:val="00E75A0A"/>
    <w:rsid w:val="00E76BC0"/>
    <w:rsid w:val="00E90FE1"/>
    <w:rsid w:val="00E93220"/>
    <w:rsid w:val="00EA021A"/>
    <w:rsid w:val="00EA289E"/>
    <w:rsid w:val="00EA28AC"/>
    <w:rsid w:val="00EA56CF"/>
    <w:rsid w:val="00EA6CE9"/>
    <w:rsid w:val="00EB1B18"/>
    <w:rsid w:val="00EC11DD"/>
    <w:rsid w:val="00EC69FD"/>
    <w:rsid w:val="00ED4520"/>
    <w:rsid w:val="00ED4A2C"/>
    <w:rsid w:val="00ED4C44"/>
    <w:rsid w:val="00EE266F"/>
    <w:rsid w:val="00EE58EF"/>
    <w:rsid w:val="00EE6BB7"/>
    <w:rsid w:val="00EF1208"/>
    <w:rsid w:val="00F11126"/>
    <w:rsid w:val="00F16E6B"/>
    <w:rsid w:val="00F20BBA"/>
    <w:rsid w:val="00F300AB"/>
    <w:rsid w:val="00F600D5"/>
    <w:rsid w:val="00F61665"/>
    <w:rsid w:val="00F62AF8"/>
    <w:rsid w:val="00F6721A"/>
    <w:rsid w:val="00F9000B"/>
    <w:rsid w:val="00FA703D"/>
    <w:rsid w:val="00FA7D95"/>
    <w:rsid w:val="00FC63C1"/>
    <w:rsid w:val="00FD0CBB"/>
    <w:rsid w:val="00FD5E53"/>
    <w:rsid w:val="00FE62FA"/>
    <w:rsid w:val="00FF4276"/>
    <w:rsid w:val="01994DFD"/>
    <w:rsid w:val="02674A23"/>
    <w:rsid w:val="02A47F80"/>
    <w:rsid w:val="03826D53"/>
    <w:rsid w:val="051E0804"/>
    <w:rsid w:val="05C51871"/>
    <w:rsid w:val="068F0539"/>
    <w:rsid w:val="0B957346"/>
    <w:rsid w:val="0C061FF2"/>
    <w:rsid w:val="0E794CFD"/>
    <w:rsid w:val="0EFD76DC"/>
    <w:rsid w:val="102922CC"/>
    <w:rsid w:val="15ED66F0"/>
    <w:rsid w:val="1D576DA5"/>
    <w:rsid w:val="1F5F014F"/>
    <w:rsid w:val="22C95D2C"/>
    <w:rsid w:val="23307C29"/>
    <w:rsid w:val="23FE2369"/>
    <w:rsid w:val="25AA31C2"/>
    <w:rsid w:val="296636EE"/>
    <w:rsid w:val="2B0B575A"/>
    <w:rsid w:val="31122F83"/>
    <w:rsid w:val="314B1FBB"/>
    <w:rsid w:val="35F03248"/>
    <w:rsid w:val="37182A56"/>
    <w:rsid w:val="37285F87"/>
    <w:rsid w:val="3742048C"/>
    <w:rsid w:val="386A72E1"/>
    <w:rsid w:val="3B8125E9"/>
    <w:rsid w:val="3C4E0CD6"/>
    <w:rsid w:val="3D906AAB"/>
    <w:rsid w:val="40841BDB"/>
    <w:rsid w:val="428C0489"/>
    <w:rsid w:val="43515B49"/>
    <w:rsid w:val="45725A27"/>
    <w:rsid w:val="45BC10A7"/>
    <w:rsid w:val="45E9433C"/>
    <w:rsid w:val="4A615739"/>
    <w:rsid w:val="4A934476"/>
    <w:rsid w:val="4B09144B"/>
    <w:rsid w:val="4B271062"/>
    <w:rsid w:val="4B2B1AD6"/>
    <w:rsid w:val="4FCC3F86"/>
    <w:rsid w:val="500100D3"/>
    <w:rsid w:val="53B243E7"/>
    <w:rsid w:val="54473424"/>
    <w:rsid w:val="54E104D3"/>
    <w:rsid w:val="586A7E52"/>
    <w:rsid w:val="5B0E625C"/>
    <w:rsid w:val="5D746D08"/>
    <w:rsid w:val="6065020A"/>
    <w:rsid w:val="638D411C"/>
    <w:rsid w:val="6745588B"/>
    <w:rsid w:val="67570D60"/>
    <w:rsid w:val="68F532D1"/>
    <w:rsid w:val="6B2E14D3"/>
    <w:rsid w:val="6B785296"/>
    <w:rsid w:val="729E3684"/>
    <w:rsid w:val="72CF5F19"/>
    <w:rsid w:val="788925DA"/>
    <w:rsid w:val="7A010B4C"/>
    <w:rsid w:val="7B771AC6"/>
    <w:rsid w:val="7C572158"/>
    <w:rsid w:val="7CCD4D16"/>
    <w:rsid w:val="7F0442E3"/>
    <w:rsid w:val="7FF35151"/>
  </w:rsids>
  <m:mathPr>
    <m:mathFont m:val="Cambria Math"/>
    <m:brkBin m:val="before"/>
    <m:brkBinSub m:val="--"/>
    <m:smallFrac m:val="0"/>
    <m:dispDef/>
    <m:lMargin m:val="0"/>
    <m:rMargin m:val="0"/>
    <m:defJc m:val="centerGroup"/>
    <m:wrapIndent m:val="1440"/>
    <m:intLim m:val="subSup"/>
    <m:naryLim m:val="undOvr"/>
  </m:mathPr>
  <w:themeFontLang w:val="en-IN" w:eastAsia="ja-JP" w:bidi="hi-I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iPriority="0" w:name="index 1"/>
    <w:lsdException w:uiPriority="0" w:name="index 2"/>
    <w:lsdException w:uiPriority="0" w:name="index 3"/>
    <w:lsdException w:uiPriority="0" w:name="index 4"/>
    <w:lsdException w:uiPriority="0" w:name="index 5"/>
    <w:lsdException w:uiPriority="0" w:name="index 6"/>
    <w:lsdException w:uiPriority="0" w:name="index 7"/>
    <w:lsdException w:uiPriority="0" w:name="index 8"/>
    <w:lsdException w:uiPriority="0" w:name="index 9"/>
    <w:lsdException w:uiPriority="0" w:name="toc 1"/>
    <w:lsdException w:uiPriority="0" w:name="toc 2"/>
    <w:lsdException w:uiPriority="0" w:name="toc 3"/>
    <w:lsdException w:uiPriority="0" w:name="toc 4"/>
    <w:lsdException w:uiPriority="0" w:name="toc 5"/>
    <w:lsdException w:uiPriority="0" w:name="toc 6"/>
    <w:lsdException w:uiPriority="0" w:name="toc 7"/>
    <w:lsdException w:uiPriority="0" w:name="toc 8"/>
    <w:lsdException w:uiPriority="0" w:name="toc 9"/>
    <w:lsdException w:uiPriority="0" w:name="Normal Indent"/>
    <w:lsdException w:uiPriority="0" w:name="footnote text"/>
    <w:lsdException w:uiPriority="0" w:name="annotation text"/>
    <w:lsdException w:qFormat="1" w:uiPriority="0" w:semiHidden="0" w:name="header"/>
    <w:lsdException w:qFormat="1" w:uiPriority="0" w:semiHidden="0" w:name="footer"/>
    <w:lsdException w:uiPriority="0" w:name="index heading"/>
    <w:lsdException w:qFormat="1" w:uiPriority="0" w:name="caption"/>
    <w:lsdException w:uiPriority="0" w:name="table of figures"/>
    <w:lsdException w:uiPriority="0" w:name="envelope address"/>
    <w:lsdException w:uiPriority="0" w:name="envelope return"/>
    <w:lsdException w:uiPriority="0" w:name="footnote reference"/>
    <w:lsdException w:uiPriority="0" w:name="annotation reference"/>
    <w:lsdException w:uiPriority="0" w:name="line number"/>
    <w:lsdException w:uiPriority="0" w:name="page number"/>
    <w:lsdException w:uiPriority="0" w:name="endnote reference"/>
    <w:lsdException w:uiPriority="0" w:name="endnote text"/>
    <w:lsdException w:uiPriority="0" w:name="table of authorities"/>
    <w:lsdException w:uiPriority="0" w:name="macro"/>
    <w:lsdException w:uiPriority="0" w:name="toa heading"/>
    <w:lsdException w:uiPriority="0" w:name="List"/>
    <w:lsdException w:uiPriority="0" w:name="List Bullet"/>
    <w:lsdException w:unhideWhenUsed="0" w:uiPriority="0" w:semiHidden="0" w:name="List Number"/>
    <w:lsdException w:uiPriority="0" w:name="List 2"/>
    <w:lsdException w:uiPriority="0" w:name="List 3"/>
    <w:lsdException w:unhideWhenUsed="0" w:uiPriority="0" w:semiHidden="0" w:name="List 4"/>
    <w:lsdException w:unhideWhenUsed="0" w:uiPriority="0" w:semiHidden="0" w:name="List 5"/>
    <w:lsdException w:uiPriority="0" w:name="List Bullet 2"/>
    <w:lsdException w:uiPriority="0" w:name="List Bullet 3"/>
    <w:lsdException w:uiPriority="0" w:name="List Bullet 4"/>
    <w:lsdException w:uiPriority="0" w:name="List Bullet 5"/>
    <w:lsdException w:uiPriority="0" w:name="List Number 2"/>
    <w:lsdException w:uiPriority="0" w:name="List Number 3"/>
    <w:lsdException w:uiPriority="0" w:name="List Number 4"/>
    <w:lsdException w:uiPriority="0" w:name="List Number 5"/>
    <w:lsdException w:qFormat="1" w:unhideWhenUsed="0" w:uiPriority="0" w:semiHidden="0" w:name="Title"/>
    <w:lsdException w:uiPriority="0" w:name="Closing"/>
    <w:lsdException w:uiPriority="0" w:name="Signature"/>
    <w:lsdException w:qFormat="1" w:uiPriority="1" w:name="Default Paragraph Font"/>
    <w:lsdException w:qFormat="1" w:unhideWhenUsed="0" w:uiPriority="0" w:semiHidden="0" w:name="Body Text"/>
    <w:lsdException w:qFormat="1" w:unhideWhenUsed="0" w:uiPriority="0" w:semiHidden="0" w:name="Body Text Indent"/>
    <w:lsdException w:uiPriority="0" w:name="List Continue"/>
    <w:lsdException w:uiPriority="0" w:name="List Continue 2"/>
    <w:lsdException w:uiPriority="0" w:name="List Continue 3"/>
    <w:lsdException w:uiPriority="0" w:name="List Continue 4"/>
    <w:lsdException w:uiPriority="0" w:name="List Continue 5"/>
    <w:lsdException w:uiPriority="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iPriority="0" w:name="Body Text First Indent 2"/>
    <w:lsdException w:uiPriority="0" w:name="Note Heading"/>
    <w:lsdException w:uiPriority="0" w:name="Body Text 2"/>
    <w:lsdException w:uiPriority="0" w:name="Body Text 3"/>
    <w:lsdException w:uiPriority="0" w:name="Body Text Indent 2"/>
    <w:lsdException w:uiPriority="0" w:name="Body Text Indent 3"/>
    <w:lsdException w:uiPriority="0" w:name="Block Text"/>
    <w:lsdException w:qFormat="1" w:uiPriority="99" w:semiHidden="0" w:name="Hyperlink"/>
    <w:lsdException w:uiPriority="0" w:name="FollowedHyperlink"/>
    <w:lsdException w:qFormat="1" w:unhideWhenUsed="0" w:uiPriority="0" w:semiHidden="0" w:name="Strong"/>
    <w:lsdException w:qFormat="1" w:unhideWhenUsed="0" w:uiPriority="0" w:semiHidden="0" w:name="Emphasis"/>
    <w:lsdException w:uiPriority="0" w:name="Document Map"/>
    <w:lsdException w:uiPriority="0" w:name="Plain Text"/>
    <w:lsdException w:uiPriority="0" w:name="E-mail Signature"/>
    <w:lsdException w:qFormat="1" w:uiPriority="0" w:name="Normal (Web)"/>
    <w:lsdException w:uiPriority="0" w:name="HTML Acronym"/>
    <w:lsdException w:uiPriority="0" w:name="HTML Address"/>
    <w:lsdException w:uiPriority="0" w:name="HTML Cite"/>
    <w:lsdException w:uiPriority="0" w:name="HTML Code"/>
    <w:lsdException w:uiPriority="0" w:name="HTML Definition"/>
    <w:lsdException w:uiPriority="0" w:name="HTML Keyboard"/>
    <w:lsdException w:uiPriority="0" w:name="HTML Preformatted"/>
    <w:lsdException w:uiPriority="0" w:name="HTML Sample"/>
    <w:lsdException w:uiPriority="0" w:name="HTML Typewriter"/>
    <w:lsdException w:uiPriority="0" w:name="HTML Variable"/>
    <w:lsdException w:qFormat="1" w:uiPriority="99" w:name="Normal Table"/>
    <w:lsdException w:uiPriority="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iPriority="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imes New Roman" w:cs="Times New Roman"/>
      <w:sz w:val="24"/>
      <w:szCs w:val="24"/>
      <w:lang w:val="en-AU" w:eastAsia="en-US" w:bidi="ar-SA"/>
    </w:rPr>
  </w:style>
  <w:style w:type="character" w:default="1" w:styleId="2">
    <w:name w:val="Default Paragraph Font"/>
    <w:semiHidden/>
    <w:unhideWhenUsed/>
    <w:qFormat/>
    <w:uiPriority w:val="1"/>
  </w:style>
  <w:style w:type="table" w:default="1" w:styleId="3">
    <w:name w:val="Normal Table"/>
    <w:semiHidden/>
    <w:unhideWhenUsed/>
    <w:qFormat/>
    <w:uiPriority w:val="99"/>
    <w:tblPr>
      <w:tblCellMar>
        <w:top w:w="0" w:type="dxa"/>
        <w:left w:w="108" w:type="dxa"/>
        <w:bottom w:w="0" w:type="dxa"/>
        <w:right w:w="108" w:type="dxa"/>
      </w:tblCellMar>
    </w:tblPr>
  </w:style>
  <w:style w:type="paragraph" w:styleId="4">
    <w:name w:val="Body Text"/>
    <w:basedOn w:val="1"/>
    <w:qFormat/>
    <w:uiPriority w:val="0"/>
    <w:pPr>
      <w:jc w:val="both"/>
    </w:pPr>
  </w:style>
  <w:style w:type="paragraph" w:styleId="5">
    <w:name w:val="Body Text Indent"/>
    <w:basedOn w:val="1"/>
    <w:qFormat/>
    <w:uiPriority w:val="0"/>
    <w:pPr>
      <w:tabs>
        <w:tab w:val="left" w:pos="-720"/>
      </w:tabs>
      <w:suppressAutoHyphens/>
      <w:ind w:left="720"/>
    </w:pPr>
    <w:rPr>
      <w:spacing w:val="-3"/>
      <w:szCs w:val="20"/>
      <w:lang w:val="en-US"/>
    </w:rPr>
  </w:style>
  <w:style w:type="paragraph" w:styleId="6">
    <w:name w:val="footer"/>
    <w:basedOn w:val="1"/>
    <w:link w:val="14"/>
    <w:unhideWhenUsed/>
    <w:qFormat/>
    <w:uiPriority w:val="0"/>
    <w:pPr>
      <w:tabs>
        <w:tab w:val="center" w:pos="4513"/>
        <w:tab w:val="right" w:pos="9026"/>
      </w:tabs>
    </w:pPr>
  </w:style>
  <w:style w:type="paragraph" w:styleId="7">
    <w:name w:val="header"/>
    <w:basedOn w:val="1"/>
    <w:link w:val="13"/>
    <w:unhideWhenUsed/>
    <w:qFormat/>
    <w:uiPriority w:val="0"/>
    <w:pPr>
      <w:tabs>
        <w:tab w:val="center" w:pos="4513"/>
        <w:tab w:val="right" w:pos="9026"/>
      </w:tabs>
    </w:pPr>
  </w:style>
  <w:style w:type="character" w:styleId="8">
    <w:name w:val="Hyperlink"/>
    <w:unhideWhenUsed/>
    <w:qFormat/>
    <w:uiPriority w:val="99"/>
    <w:rPr>
      <w:color w:val="0000FF"/>
      <w:u w:val="single"/>
    </w:rPr>
  </w:style>
  <w:style w:type="paragraph" w:styleId="9">
    <w:name w:val="Normal (Web)"/>
    <w:semiHidden/>
    <w:unhideWhenUsed/>
    <w:qFormat/>
    <w:uiPriority w:val="0"/>
    <w:pPr>
      <w:spacing w:beforeAutospacing="1" w:afterAutospacing="1"/>
    </w:pPr>
    <w:rPr>
      <w:rFonts w:ascii="Times New Roman" w:hAnsi="Times New Roman" w:eastAsia="SimSun" w:cs="Times New Roman"/>
      <w:sz w:val="24"/>
      <w:szCs w:val="24"/>
      <w:lang w:val="en-US" w:eastAsia="zh-CN" w:bidi="ar-SA"/>
    </w:rPr>
  </w:style>
  <w:style w:type="table" w:styleId="10">
    <w:name w:val="Table Grid"/>
    <w:basedOn w:val="3"/>
    <w:qFormat/>
    <w:uiPriority w:val="0"/>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paragraph" w:styleId="11">
    <w:name w:val="List Paragraph"/>
    <w:basedOn w:val="1"/>
    <w:qFormat/>
    <w:uiPriority w:val="34"/>
    <w:pPr>
      <w:spacing w:after="200" w:line="276" w:lineRule="auto"/>
      <w:ind w:left="720"/>
      <w:contextualSpacing/>
    </w:pPr>
    <w:rPr>
      <w:rFonts w:ascii="Calibri" w:hAnsi="Calibri" w:eastAsia="Calibri"/>
      <w:sz w:val="22"/>
      <w:szCs w:val="22"/>
      <w:lang w:val="en-US"/>
    </w:rPr>
  </w:style>
  <w:style w:type="character" w:customStyle="1" w:styleId="12">
    <w:name w:val="apple-converted-space"/>
    <w:qFormat/>
    <w:uiPriority w:val="0"/>
  </w:style>
  <w:style w:type="character" w:customStyle="1" w:styleId="13">
    <w:name w:val="Header Char"/>
    <w:basedOn w:val="2"/>
    <w:link w:val="7"/>
    <w:qFormat/>
    <w:uiPriority w:val="0"/>
    <w:rPr>
      <w:rFonts w:eastAsia="Times New Roman"/>
      <w:sz w:val="24"/>
      <w:szCs w:val="24"/>
      <w:lang w:val="en-AU" w:eastAsia="en-US"/>
    </w:rPr>
  </w:style>
  <w:style w:type="character" w:customStyle="1" w:styleId="14">
    <w:name w:val="Footer Char"/>
    <w:basedOn w:val="2"/>
    <w:link w:val="6"/>
    <w:qFormat/>
    <w:uiPriority w:val="0"/>
    <w:rPr>
      <w:rFonts w:eastAsia="Times New Roman"/>
      <w:sz w:val="24"/>
      <w:szCs w:val="24"/>
      <w:lang w:val="en-AU" w:eastAsia="en-US"/>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customXml" Target="../customXml/item1.xml"/><Relationship Id="rId5" Type="http://schemas.openxmlformats.org/officeDocument/2006/relationships/numbering" Target="numbering.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DBBF70F-7361-4740-AF07-D206A843EC63}">
  <ds:schemaRefs/>
</ds:datastoreItem>
</file>

<file path=docProps/app.xml><?xml version="1.0" encoding="utf-8"?>
<Properties xmlns="http://schemas.openxmlformats.org/officeDocument/2006/extended-properties" xmlns:vt="http://schemas.openxmlformats.org/officeDocument/2006/docPropsVTypes">
  <Template>Normal</Template>
  <Company>bits</Company>
  <Pages>4</Pages>
  <Words>913</Words>
  <Characters>6622</Characters>
  <Lines>61</Lines>
  <Paragraphs>17</Paragraphs>
  <TotalTime>479</TotalTime>
  <ScaleCrop>false</ScaleCrop>
  <LinksUpToDate>false</LinksUpToDate>
  <CharactersWithSpaces>7360</CharactersWithSpaces>
  <Application>WPS Office_12.1.0.27458_F1E327BC-269C-435d-A152-05C5408002CA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2024-07-07T14:24:00Z</dcterms:created>
  <dc:creator>book with</dc:creator>
  <cp:lastModifiedBy>pradeep kandula</cp:lastModifiedBy>
  <cp:lastPrinted>2018-07-07T05:46:00Z</cp:lastPrinted>
  <dcterms:modified xsi:type="dcterms:W3CDTF">2026-07-23T03:26:52Z</dcterms:modified>
  <dc:title>BIRLA INSTITUTE OF TECHNOLOGY AND SCIENCE, PILANI</dc:title>
  <cp:revision>122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1033-12.1.0.27458</vt:lpwstr>
  </property>
  <property fmtid="{D5CDD505-2E9C-101B-9397-08002B2CF9AE}" pid="3" name="ICV">
    <vt:lpwstr>20D8FC65D47E4A0EBAE4574B889BD6E9</vt:lpwstr>
  </property>
  <property fmtid="{D5CDD505-2E9C-101B-9397-08002B2CF9AE}" pid="4" name="KSOTemplateDocerSaveRecord">
    <vt:lpwstr>eyJoZGlkIjoiMGQ4ZjdlYjdiZjc5MTFmNTE5NzUzYzA4NmQ4MjVlMzIiLCJ1c2VySWQiOiI1NjY5OTczMDUxMzUifQ==</vt:lpwstr>
  </property>
</Properties>
</file>