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الٓمّٓ ۟ۚ ذٰلِكَ الْكِتٰبُ لَا رَیْبَ ۛۖۚ فِیْهِ ۛۚ</w:t>
      </w:r>
    </w:p>
    <w:p w:rsidR="00000000" w:rsidDel="00000000" w:rsidP="00000000" w:rsidRDefault="00000000" w:rsidRPr="00000000" w14:paraId="00000001">
      <w:pPr>
        <w:jc w:val="right"/>
        <w:rPr/>
      </w:pPr>
      <w:r>
        <w:t>هُدًی لِّلْمُتَّقِیْنَ ۟ۙ الَّذِیْنَ یُؤْمِنُوْنَ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بِالْغَیْبِ وَیُقِیْمُوْنَ الصَّلٰوةَ وَمِمَّا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رَزَقْنٰهُمْ یُنْفِقُوْنَ ۟ۙ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یُؤْمِنُوْنَ بِمَاۤ اُنْزِلَ اِلَیْكَ وَمَاۤ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قَبْلِكَ ۚ وَبِالْاٰخِرَةِ هُمْ یُوْقِنُوْنَ ۟ؕ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