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رَبُّكَ اِلَی الْمَلٰٓىِٕكَةِ اَنِّیْ مَعَكُمْ فَثَبِّتُوا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ؕ سَاُلْقِیْ فِیْ قُلُوْبِ الَّذِیْنَ كَفَرُوا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الرُّعْبَ فَاضْرِبُوْا فَوْقَ الْاَعْنَاقِ وَاضْرِبُوْا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كُلَّ بَنَانٍ ۟ؕ ذٰلِكَ بِاَنَّهُمْ شَآقُّوا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وَرَسُوْلَهٗ ۚ وَمَنْ یُّشَاقِقِ اللّٰهَ وَرَسُوْلَهٗ فَاِنَّ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شَدِیْدُ الْعِقَابِ ۟ ذٰلِكُمْ فَذُوْقُوْهُ وَاَنَّ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لِلْكٰفِرِیْنَ عَذَابَ النَّارِ ۟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اٰمَنُوْۤا اِذَا لَقِیْتُمُ الَّذِیْنَ كَفَرُوْا زَحْفًا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تُوَلُّوْهُمُ الْاَدْبَارَ ۟ۚ وَمَنْ یُّوَلِّهِمْ یَوْمَىِٕذٍ</w:t>
      </w:r>
    </w:p>
    <w:p w:rsidR="00000000" w:rsidDel="00000000" w:rsidP="00000000" w:rsidRDefault="00000000" w:rsidRPr="00000000" w14:paraId="00000001">
      <w:pPr>
        <w:jc w:val="right"/>
        <w:rPr/>
      </w:pPr>
      <w:r>
        <w:t>دُبُرَهٗۤ اِلَّا مُتَحَرِّفًا لِّقِتَالٍ اَوْ مُتَحَیِّزًا اِلٰی فِئَةٍ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فَقَدْ بَآءَ بِغَضَبٍ مِّنَ اللّٰهِ وَمَاْوٰىهُ جَهَنَّمُ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وَبِئْسَ الْمَصِیْرُ ۟ فَلَمْ تَقْتُلُوْهُمْ وَلٰكِنَّ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قَتَلَهُمْ ۪ وَمَا رَمَیْتَ اِذْ رَمَیْتَ وَلٰكِنَّ اللّٰهَ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