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فَمَتَاعُ الْحَیٰوةِ الدُّنْیَا وَزِیْنَتُهَا ۚ وَمَا عِنْدَ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وَّاَبْقٰی ؕ اَفَلَا تَعْقِلُوْنَ ۟۠ اَفَمَنْ وَّعَدْنٰهُ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وَعْدًا حَسَنًا فَهُوَ لَاقِیْهِ كَمَنْ مَّتَّعْنٰهُ مَتَاعَ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ثُمَّ هُوَ یَوْمَ الْقِیٰمَةِ مِنَ الْمُحْضَرِیْنَ ۟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یُنَادِیْهِمْ فَیَقُوْلُ اَیْنَ شُرَكَآءِیَ الَّذِیْنَ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تَزْعُمُوْنَ ۟ قَالَ الَّذِیْنَ حَقَّ عَلَیْهِمُ الْقَوْلُ رَبَّنَا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هٰۤؤُلَآءِ الَّذِیْنَ اَغْوَیْنَا ۚ اَغْوَیْنٰهُمْ كَمَا غَوَیْنَا ۚ تَبَرَّاْنَاۤ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ؗ مَا كَانُوْۤا اِیَّانَا یَعْبُدُوْنَ ۟ وَقِیْلَ ادْعُوْا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شُرَكَآءَكُمْ فَدَعَوْهُمْ فَلَمْ یَسْتَجِیْبُوْا لَهُمْ وَرَاَوُا الْعَذَابَ ۚ</w:t>
      </w:r>
    </w:p>
    <w:p w:rsidR="00000000" w:rsidDel="00000000" w:rsidP="00000000" w:rsidRDefault="00000000" w:rsidRPr="00000000" w14:paraId="00000001">
      <w:pPr>
        <w:jc w:val="right"/>
        <w:rPr/>
      </w:pPr>
      <w:r>
        <w:t>لَوْ اَنَّهُمْ كَانُوْا یَهْتَدُوْنَ ۟ وَیَوْمَ یُنَادِیْهِمْ فَیَقُوْلُ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مَاذَاۤ اَجَبْتُمُ الْمُرْسَلِیْنَ ۟ فَعَمِیَتْ عَلَیْهِمُ الْاَنْۢبَآءُ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فَهُمْ لَا یَتَسَآءَلُوْنَ ۟ فَاَمَّا مَنْ تَابَ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وَاٰمَنَ وَعَمِلَ صَالِحًا فَعَسٰۤی اَنْ یَّكُوْنَ مِنَ الْمُفْلِحِیْنَ ۟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