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وَكَانَ ذٰلِكَ عَلَی اللّٰهِ یَسِیْرًا ۟ یَحْسَبُوْنَ الْاَحْزَابَ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یَذْهَبُوْا ۚ وَاِنْ یَّاْتِ الْاَحْزَابُ یَوَدُّوْا لَوْ 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بَادُوْنَ فِی الْاَعْرَابِ یَسْاَلُوْنَ عَنْ اَنْۢبَآىِٕكُمْ ؕ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فِیْكُمْ مَّا قٰتَلُوْۤا اِلَّا قَلِیْلًا ۟۠ لَقَدْ كَانَ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رَسُوْلِ اللّٰهِ اُسْوَةٌ حَسَنَةٌ لِّمَنْ كَانَ یَرْجُوا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وَالْیَوْمَ الْاٰخِرَ وَذَكَرَ اللّٰهَ كَثِیْرًا ۟ؕ وَلَمَّا رَاَ الْمُؤْمِنُوْنَ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الْاَحْزَابَ ۙ قَالُوْا هٰذَا مَا وَعَدَنَا اللّٰهُ وَرَسُوْلُهٗ</w:t>
      </w:r>
    </w:p>
    <w:p w:rsidR="00000000" w:rsidDel="00000000" w:rsidP="00000000" w:rsidRDefault="00000000" w:rsidRPr="00000000" w14:paraId="00000001">
      <w:pPr>
        <w:jc w:val="right"/>
        <w:rPr/>
      </w:pPr>
      <w:r>
        <w:t>وَصَدَقَ اللّٰهُ وَرَسُوْلُهٗ ؗ وَمَا زَادَهُمْ اِلَّاۤ اِیْمَانًا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وَّتَسْلِیْمًا ۟ؕ مِنَ الْمُؤْمِنِیْنَ رِجَالٌ صَدَقُوْا 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عَاهَدُوا اللّٰهَ عَلَیْهِ ۚ فَمِنْهُمْ مَّنْ قَضٰی نَحْبَهٗ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یَّنْتَظِرُ ۖؗ وَمَا بَدَّلُوْا تَبْدِیْلًا ۟ۙ لِّیَجْزِیَ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الصّٰدِقِیْنَ بِصِدْقِهِمْ وَیُعَذِّبَ الْمُنٰفِقِیْنَ اِنْ شَآءَ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اَوْ یَتُوْبَ عَلَیْهِمْ ؕ اِنَّ اللّٰهَ كَانَ غَفُوْرًا رَّحِیْمًا ۟ۚ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