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الْخُلُوْدِ ۟ لَهُمْ مَّا یَشَآءُوْنَ فِیْهَا وَلَدَیْنَا مَزِیْدٌ ۟</w:t>
      </w:r>
    </w:p>
    <w:p w:rsidR="00000000" w:rsidDel="00000000" w:rsidP="00000000" w:rsidRDefault="00000000" w:rsidRPr="00000000" w14:paraId="00000001">
      <w:pPr>
        <w:jc w:val="right"/>
        <w:rPr/>
      </w:pPr>
      <w:r>
        <w:t>وَكَمْ اَهْلَكْنَا قَبْلَهُمْ مِّنْ قَرْنٍ هُمْ اَشَدُّ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بَطْشًا فَنَقَّبُوْا فِی الْبِلَادِ ؕ هَلْ مِنْ مَّحِیْصٍ ۟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ذٰلِكَ لَذِكْرٰی لِمَنْ كَانَ لَهٗ قَلْبٌ اَوْ اَلْقَی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السَّمْعَ وَهُوَ شَهِیْدٌ ۟ وَلَقَدْ خَلَقْنَا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وَمَا بَیْنَهُمَا فِیْ سِتَّةِ اَیَّامٍ ۖۗ وَّمَا مَسَّنَا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لُّغُوْبٍ ۟ فَاصْبِرْ عَلٰی مَا یَقُوْلُوْنَ وَسَبِّحْ بِحَمْدِ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قَبْلَ طُلُوْعِ الشَّمْسِ وَقَبْلَ الْغُرُوْبِ ۟ۚ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وَمِنَ الَّیْلِ فَسَبِّحْهُ وَاَدْبَارَ السُّجُوْدِ ۟ وَاسْتَمِعْ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یُنَادِ الْمُنَادِ مِنْ مَّكَانٍ قَرِیْبٍ ۟ۙ یَّوْمَ یَسْمَعُوْنَ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الصَّیْحَةَ بِالْحَقِّ ؕ ذٰلِكَ یَوْمُ الْخُرُوْجِ ۟ اِنَّا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نُحْیٖ وَنُمِیْتُ وَاِلَیْنَا الْمَصِیْرُ ۟ۙ یَوْمَ تَشَقَّقُ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الْاَرْضُ عَنْهُمْ سِرَاعًا ؕ ذٰلِكَ حَشْرٌ عَلَیْنَا یَسِیْرٌ ۟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