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وَالْقَمَرُ ۟ۙ یَقُوْلُ الْاِنْسَانُ یَوْمَىِٕذٍ اَیْنَ الْمَفَرُّ ۟ۚ</w:t>
      </w:r>
    </w:p>
    <w:p w:rsidR="00000000" w:rsidDel="00000000" w:rsidP="00000000" w:rsidRDefault="00000000" w:rsidRPr="00000000" w14:paraId="00000001">
      <w:pPr>
        <w:jc w:val="right"/>
        <w:rPr/>
      </w:pPr>
      <w:r>
        <w:t>كَلَّا لَا وَزَرَ ۟ؕ اِلٰى رَبِّكَ یَوْمَىِٕذِ لْمُسْتَقَرُّ ۟ؕ</w:t>
      </w:r>
    </w:p>
    <w:p w:rsidR="00000000" w:rsidDel="00000000" w:rsidP="00000000" w:rsidRDefault="00000000" w:rsidRPr="00000000" w14:paraId="00000001">
      <w:pPr>
        <w:jc w:val="right"/>
        <w:rPr/>
      </w:pPr>
      <w:r>
        <w:t>یُنَبَّؤُا الْاِنْسَانُ یَوْمَىِٕذٍۭ بِمَا قَدَّمَ وَاَخَّرَ ۟ؕ بَلِ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الْاِنْسَانُ عَلٰی نَفْسِهٖ بَصِیْرَةٌ ۟ۙ وَّلَوْ اَلْقٰى مَعَاذِیْرَهٗ ۟ؕ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تُحَرِّكْ بِهٖ لِسَانَكَ لِتَعْجَلَ بِهٖ ۟ؕ اِنَّ عَلَیْنَا جَمْعَهٗ</w:t>
      </w:r>
    </w:p>
    <w:p w:rsidR="00000000" w:rsidDel="00000000" w:rsidP="00000000" w:rsidRDefault="00000000" w:rsidRPr="00000000" w14:paraId="00000001">
      <w:pPr>
        <w:jc w:val="right"/>
        <w:rPr/>
      </w:pPr>
      <w:r>
        <w:t>وَقُرْاٰنَهٗ ۟ۚۖ فَاِذَا قَرَاْنٰهُ فَاتَّبِعْ قُرْاٰنَهٗ ۟ۚ ثُمَّ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عَلَیْنَا بَیَانَهٗ ۟ؕ كَلَّا بَلْ تُحِبُّوْنَ الْعَاجِلَةَ ۟ۙ وَتَذَرُوْنَ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الْاٰخِرَةَ ۟ؕ وُجُوْهٌ یَّوْمَىِٕذٍ نَّاضِرَةٌ ۟ۙ اِلٰى رَبِّهَا</w:t>
      </w:r>
    </w:p>
    <w:p w:rsidR="00000000" w:rsidDel="00000000" w:rsidP="00000000" w:rsidRDefault="00000000" w:rsidRPr="00000000" w14:paraId="00000001">
      <w:pPr>
        <w:jc w:val="right"/>
        <w:rPr/>
      </w:pPr>
      <w:r>
        <w:t>نَاظِرَةٌ ۟ۚ وَوُجُوْهٌ یَّوْمَىِٕذٍۭ بَاسِرَةٌ ۟ۙ تَظُنُّ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یُّفْعَلَ بِهَا فَاقِرَةٌ ۟ؕ كَلَّاۤ اِذَا بَلَغَتِ التَّرَاقِیَ ۟ۙ</w:t>
      </w:r>
    </w:p>
    <w:p w:rsidR="00000000" w:rsidDel="00000000" w:rsidP="00000000" w:rsidRDefault="00000000" w:rsidRPr="00000000" w14:paraId="00000001">
      <w:pPr>
        <w:jc w:val="right"/>
        <w:rPr/>
      </w:pPr>
      <w:r>
        <w:t>وَقِیْلَ مَنْ ٚ رَاقٍ ۟ۙ وَّظَنَّ اَنَّهُ الْفِرَاقُ ۟ۙ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وَالْتَفَّتِ السَّاقُ بِالسَّاقِ ۟ۙ اِلٰى رَبِّكَ یَوْمَىِٕذِ</w:t>
      </w:r>
    </w:p>
    <w:p w:rsidR="00000000" w:rsidDel="00000000" w:rsidP="00000000" w:rsidRDefault="00000000" w:rsidRPr="00000000" w14:paraId="00000001">
      <w:pPr>
        <w:jc w:val="right"/>
        <w:rPr/>
      </w:pPr>
      <w:r>
        <w:t>لْمَسَاقُ ۟ؕ۠ فَلَا صَدَّقَ وَلَا صَلّٰى ۟ۙ وَلٰكِنْ كَذَّبَ وَتَوَلّٰى ۟ۙ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