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وَالَّیْلِ اِذَا یَغْشٰی ۟ۙ وَالنَّهَارِ اِذَا تَجَلّٰی ۟ۙ وَمَا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الذَّكَرَ وَالْاُ ۟ۙ اِنَّ سَعْیَكُمْ لَشَتّٰی ۟ؕ فَاَمَّا مَنْ اَعْطٰی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وَاتَّقٰی ۟ۙ وَصَدَّقَ بِالْحُسْنٰی ۟ۙ فَسَنُیَسِّرُهٗ لِلْیُسْرٰی ۟ؕ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وَاَمَّا مَنْ بَخِلَ وَاسْتَغْنٰی ۟ۙ وَكَذَّبَ بِالْحُسْنٰی ۟ۙ فَسَنُیَسِّرُهٗ</w:t>
      </w:r>
    </w:p>
    <w:p w:rsidR="00000000" w:rsidDel="00000000" w:rsidP="00000000" w:rsidRDefault="00000000" w:rsidRPr="00000000" w14:paraId="00000001">
      <w:pPr>
        <w:jc w:val="right"/>
        <w:rPr/>
      </w:pPr>
      <w:r>
        <w:t>لِلْعُسْرٰی ۟ؕ وَمَا یُغْنِیْ عَنْهُ مَالُهٗۤ اِذَا تَرَدّٰی ۟ؕ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عَلَیْنَا لَلْهُدٰی ۟ؗۖ وَاِنَّ لَنَا لَلْاٰخِرَةَ وَالْاُوْلٰی ۟</w:t>
      </w:r>
    </w:p>
    <w:p w:rsidR="00000000" w:rsidDel="00000000" w:rsidP="00000000" w:rsidRDefault="00000000" w:rsidRPr="00000000" w14:paraId="00000001">
      <w:pPr>
        <w:jc w:val="right"/>
        <w:rPr/>
      </w:pPr>
      <w:r>
        <w:t>فَاَنْذَرْتُكُمْ نَارًا تَلَظّٰی ۟ۚ لَا یَصْلٰىهَاۤ اِلَّا الْاَشْقَی ۟ۙ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كَذَّبَ وَتَوَلّٰی ۟ؕ وَسَیُجَنَّبُهَا الْاَتْقَی ۟ۙ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یُؤْتِیْ مَالَهٗ یَتَزَكّٰی ۟ۚ وَمَا لِاَحَدٍ عِنْدَهٗ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نِّعْمَةٍ تُجْزٰۤی ۟ۙ اِلَّا ابْتِغَآءَ وَجْهِ رَبِّهِ الْاَعْلٰی ۟ۚ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وَلَسَوْفَ یَرْضٰی ۟۠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