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وَمِنْ شَرِّ غَاسِقٍ اِذَا وَقَبَ ۟ۙ وَمِنْ شَرِّ النَّفّٰثٰتِ فِی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الْعُقَدِ ۟ۙ وَمِنْ شَرِّ حَاسِدٍ اِذَا حَسَدَ ۟۠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اَعُوْذُ بِرَبِّ النَّاسِ ۟ۙ مَلِكِ النَّاسِ ۟ۙ اِلٰهِ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النَّاسِ ۟ۙ مِنْ شَرِّ الْوَسْوَاسِ ۙ۬ الْخَنَّاسِ ۟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یُوَسْوِسُ فِیْ صُدُوْرِ النَّاسِ ۟ۙ مِنَ الْجِنَّةِ وَالنَّاسِ ۟۠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