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Insomnia Treatment Mini Review</w:t>
      </w:r>
    </w:p>
    <w:p>
      <w:r>
        <w:t xml:space="preserve">Therapist Guided CBT-I</w:t>
      </w:r>
    </w:p>
    <w:p>
      <w:r>
        <w:t xml:space="preserve">Therapist guided cognitive behavioral therapy for insomnia (CBT-I) remains a central nonpharmacological intervention for adults with primary insomnia. In a randomized trial of 120 adults, CBT-I produced clinically meaningful improvement in sleep onset latency, and this benefit persisted at six-month follow-up (chen2024CbtIOutcomes). These findings support the durability of therapist delivered protocols, particularly when patients can maintain adherence to behavioral components such as stimulus control, sleep restriction, and cognitive restructuring. However, adherence may weaken in populations with irregular schedules, including shift workers, suggesting that therapist guidance does not fully overcome structural barriers to consistent sleep practice (chen2024CbtIOutcomes). Evidence should also be interpreted cautiously because the trial excluded patients with comorbid depression, limiting generalizability to more clinically complex insomnia presentations. Although digital interventions can reproduce parts of therapist guided CBT-I, their effects are more variable and durability remains less established (garcia2023DigitalDeliverySleep).</w:t>
      </w:r>
    </w:p>
    <w:p>
      <w:r>
        <w:t xml:space="preserve">Digital Delivery of Sleep Therapy</w:t>
      </w:r>
    </w:p>
    <w:p>
      <w:r>
        <w:t xml:space="preserve">Digital delivery has become a prominent strategy for expanding access to insomnia treatment, particularly where therapist-guided cognitive behavioral therapy for insomnia (CBT-I) is unavailable or costly. App-delivered programs commonly reproduce selected CBT-I components, such as sleep scheduling, stimulus control, and cognitive restructuring, but they may provide less individualized feedback than clinician-led care (garcia2023DigitalDeliverySleep). Evidence suggests that digital sleep therapy can retain partial efficacy compared with therapist-guided protocols, although outcomes vary substantially across studies (garcia2023DigitalDeliverySleep). Trial evidence for CBT-I indicates improved sleep onset latency with benefits persisting to six months, supporting the clinical relevance of behavioral treatment targets (chen2024CbtIOutcomes). However, digital durability remains less certain because many app-based trials are short and adherence may decline, especially in populations with irregular schedules (chen2024CbtIOutcomes; garcia2023DigitalDeliverySleep). Future evaluations should test longer follow-up periods, engagement supports, and inclusion of patients with common comorbidities to clarify generalizability.</w:t>
      </w:r>
    </w:p>
    <w:sectPr>
      <w:pgSz w:w="12240" w:h="15840"/>
      <w:pgMar w:top="1440" w:right="1440" w:bottom="1440" w:left="1440"/>
    </w:sectPr>
  </w:body>
</w:document>
</file>