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 xml:space="preserve">Insomnia Treatment Mini Review</w:t>
      </w:r>
    </w:p>
    <w:p>
      <w:r>
        <w:t xml:space="preserve">Therapist Guided CBT-I</w:t>
      </w:r>
    </w:p>
    <w:p>
      <w:r>
        <w:t xml:space="preserve">Therapist guided cognitive behavioral therapy for insomnia (CBT-I) remains a central nonpharmacological approach for adults with primary insomnia. In a randomized trial of 120 adults, CBT-I reduced sleep onset latency, and benefits were maintained at six-month follow-up, suggesting clinically meaningful durability when patients remain engaged (chen2024CbtIOutcomes). Core therapist guided protocols typically combine stimulus control, sleep restriction, cognitive restructuring, relaxation strategies, and sleep hygiene education, allowing individualized adjustment and monitoring of adherence. This human guidance may be especially important because adherence can decline in patients whose schedules disrupt regular sleep opportunities, such as shift workers (chen2024CbtIOutcomes). However, the evidence base should be interpreted with caution: the cited trial excluded patients with comorbid depression, limiting generalizability to more complex clinical populations. Digital programs can reproduce selected CBT-I components, but their variable effects and shorter trials indicate that therapist guided care remains the stronger benchmark for sustained outcomes (garcia2023DigitalDeliverySleep).</w:t>
      </w:r>
    </w:p>
    <w:p>
      <w:r>
        <w:t xml:space="preserve">Digital Delivery of Sleep Therapy</w:t>
      </w:r>
    </w:p>
    <w:p>
      <w:r>
        <w:t xml:space="preserve">Digital delivery has become a prominent strategy for expanding access to insomnia care, particularly through app-based programs that translate selected components of therapist-guided cognitive behavioral therapy for insomnia (CBT-I). These interventions commonly include sleep education, stimulus control, sleep scheduling, and self-monitoring, but they may provide less individualized formulation and accountability than clinician-led treatment. Evidence suggests that digital programs can retain partial efficacy relative to therapist-guided approaches, although outcomes vary substantially across trials (garcia2023DigitalDeliverySleep). This variability may reflect differences in intervention intensity, user engagement, platform design, and study populations. Findings from adult CBT-I trials indicate that structured behavioral treatment can improve sleep onset latency, with benefits persisting at six months, but adherence challenges are notable in groups such as shift workers (chen2024CbtIOutcomes). Therefore, digital sleep therapy should be viewed as a scalable but not fully equivalent delivery model. Longer trials and clearer adherence reporting are needed before making strong claims about durability.</w:t>
      </w:r>
    </w:p>
    <w:sectPr>
      <w:pgSz w:w="12240" w:h="15840"/>
      <w:pgMar w:top="1440" w:right="1440" w:bottom="1440" w:left="1440"/>
    </w:sectPr>
  </w:body>
</w:document>
</file>