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Inter" w:hAnsi="Inter"/>
          <w:b/>
          <w:color w:val="1E3A8A"/>
          <w:sz w:val="32"/>
        </w:rPr>
        <w:t>BÀI TẬP THỰC HÀNH SESSION 10 - EXERCISE 05</w:t>
        <w:br/>
        <w:t>BÁO CÁO SỰ CỐ AN NINH MẠNG NETGUARD (INCIDENT REPORT)</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vAlign w:val="center"/>
            <w:shd w:fill="1E3A8A"/>
          </w:tcPr>
          <w:p>
            <w:pPr>
              <w:keepNext/>
              <w:spacing w:before="60" w:after="60"/>
              <w:jc w:val="center"/>
            </w:pPr>
            <w:r>
              <w:rPr>
                <w:rFonts w:ascii="Inter" w:hAnsi="Inter"/>
                <w:b/>
                <w:color w:val="FFFFFF"/>
                <w:sz w:val="20"/>
              </w:rPr>
              <w:t>Họ và tên sinh viên</w:t>
            </w:r>
          </w:p>
        </w:tc>
        <w:tc>
          <w:tcPr>
            <w:tcW w:type="dxa" w:w="2340"/>
            <w:vAlign w:val="center"/>
            <w:shd w:fill="1E3A8A"/>
          </w:tcPr>
          <w:p>
            <w:pPr>
              <w:keepNext/>
              <w:spacing w:before="60" w:after="60"/>
              <w:jc w:val="center"/>
            </w:pPr>
            <w:r>
              <w:rPr>
                <w:rFonts w:ascii="Inter" w:hAnsi="Inter"/>
                <w:b/>
                <w:color w:val="FFFFFF"/>
                <w:sz w:val="20"/>
              </w:rPr>
              <w:t>Mã số sinh viên (MSSV)</w:t>
            </w:r>
          </w:p>
        </w:tc>
        <w:tc>
          <w:tcPr>
            <w:tcW w:type="dxa" w:w="2340"/>
            <w:vAlign w:val="center"/>
            <w:shd w:fill="1E3A8A"/>
          </w:tcPr>
          <w:p>
            <w:pPr>
              <w:keepNext/>
              <w:spacing w:before="60" w:after="60"/>
              <w:jc w:val="center"/>
            </w:pPr>
            <w:r>
              <w:rPr>
                <w:rFonts w:ascii="Inter" w:hAnsi="Inter"/>
                <w:b/>
                <w:color w:val="FFFFFF"/>
                <w:sz w:val="20"/>
              </w:rPr>
              <w:t>Lớp</w:t>
            </w:r>
          </w:p>
        </w:tc>
        <w:tc>
          <w:tcPr>
            <w:tcW w:type="dxa" w:w="2340"/>
            <w:vAlign w:val="center"/>
            <w:shd w:fill="1E3A8A"/>
          </w:tcPr>
          <w:p>
            <w:pPr>
              <w:keepNext/>
              <w:spacing w:before="60" w:after="60"/>
              <w:jc w:val="center"/>
            </w:pPr>
            <w:r>
              <w:rPr>
                <w:rFonts w:ascii="Inter" w:hAnsi="Inter"/>
                <w:b/>
                <w:color w:val="FFFFFF"/>
                <w:sz w:val="20"/>
              </w:rPr>
              <w:t>Email liên hệ</w:t>
            </w:r>
          </w:p>
        </w:tc>
      </w:tr>
      <w:tr>
        <w:trPr>
          <w:cantSplit/>
        </w:trPr>
        <w:tc>
          <w:tcPr>
            <w:tcW w:type="dxa" w:w="2340"/>
            <w:vAlign w:val="center"/>
          </w:tcPr>
          <w:p>
            <w:pPr>
              <w:spacing w:before="60" w:after="60"/>
              <w:jc w:val="center"/>
            </w:pPr>
            <w:r>
              <w:rPr>
                <w:rFonts w:ascii="Inter" w:hAnsi="Inter"/>
                <w:color w:val="0F172A"/>
                <w:sz w:val="20"/>
              </w:rPr>
              <w:t>Thi Thành Đạt</w:t>
            </w:r>
          </w:p>
        </w:tc>
        <w:tc>
          <w:tcPr>
            <w:tcW w:type="dxa" w:w="2340"/>
            <w:vAlign w:val="center"/>
          </w:tcPr>
          <w:p>
            <w:pPr>
              <w:spacing w:before="60" w:after="60"/>
              <w:jc w:val="center"/>
            </w:pPr>
            <w:r>
              <w:rPr>
                <w:rFonts w:ascii="Inter" w:hAnsi="Inter"/>
                <w:color w:val="0F172A"/>
                <w:sz w:val="20"/>
              </w:rPr>
              <w:t>N26DTCN041</w:t>
            </w:r>
          </w:p>
        </w:tc>
        <w:tc>
          <w:tcPr>
            <w:tcW w:type="dxa" w:w="2340"/>
            <w:vAlign w:val="center"/>
          </w:tcPr>
          <w:p>
            <w:pPr>
              <w:spacing w:before="60" w:after="60"/>
              <w:jc w:val="center"/>
            </w:pPr>
            <w:r>
              <w:rPr>
                <w:rFonts w:ascii="Inter" w:hAnsi="Inter"/>
                <w:color w:val="0F172A"/>
                <w:sz w:val="20"/>
              </w:rPr>
              <w:t>CNTT2</w:t>
            </w:r>
          </w:p>
        </w:tc>
        <w:tc>
          <w:tcPr>
            <w:tcW w:type="dxa" w:w="2340"/>
            <w:vAlign w:val="center"/>
          </w:tcPr>
          <w:p>
            <w:pPr>
              <w:spacing w:before="60" w:after="60"/>
              <w:jc w:val="center"/>
            </w:pPr>
            <w:r>
              <w:rPr>
                <w:rFonts w:ascii="Inter" w:hAnsi="Inter"/>
                <w:color w:val="0F172A"/>
                <w:sz w:val="20"/>
              </w:rPr>
              <w:t>thithanhdat111@gmail.com</w:t>
            </w:r>
          </w:p>
        </w:tc>
      </w:tr>
    </w:tbl>
    <w:p>
      <w:pPr>
        <w:spacing w:before="0" w:after="80"/>
      </w:pPr>
    </w:p>
    <w:p>
      <w:pPr>
        <w:keepNext/>
        <w:spacing w:before="120" w:after="40"/>
      </w:pPr>
      <w:r>
        <w:rPr>
          <w:rFonts w:ascii="Inter" w:hAnsi="Inter"/>
          <w:b/>
          <w:color w:val="1E3A8A"/>
          <w:sz w:val="24"/>
        </w:rPr>
        <w:t>MỤC LỤC TỰ ĐỘNG (AUTO TABLE OF CONTENTS)</w:t>
      </w:r>
    </w:p>
    <w:p>
      <w:pPr>
        <w:spacing w:line="276" w:lineRule="auto" w:after="80"/>
      </w:pPr>
      <w:r>
        <w:rPr>
          <w:rFonts w:ascii="Inter" w:hAnsi="Inter"/>
          <w:color w:val="0F172A"/>
          <w:sz w:val="22"/>
        </w:rPr>
        <w:t>(Lưu ý: Mục lục dưới đây được thiết lập bằng trường lệnh Auto TOC tự động của Word. Khi mở tệp trên Microsoft Word, nếu phần mềm hỏi cập nhật trường hoặc khi nhấn chuột phải chọn 'Update Field' -&gt; 'Update entire table', số trang sẽ tự động đồng bộ chính xác theo các tiêu đề Heading 1, Heading 2).</w:t>
      </w:r>
    </w:p>
    <w:p>
      <w:pPr>
        <w:spacing w:before="80" w:after="160"/>
      </w:pPr>
      <w:r>
        <w:fldChar w:fldCharType="begin"/>
        <w:instrText xml:space="preserve">TOC \o "1-3" \h \z \u</w:instrText>
        <w:fldChar w:fldCharType="separate"/>
        <w:fldChar w:fldCharType="end"/>
      </w:r>
    </w:p>
    <w:p>
      <w:pPr>
        <w:pStyle w:val="Heading1"/>
      </w:pPr>
      <w:r>
        <w:t>PHẦN 1. PHÂN TÍCH CƠ CHẾ TRA CỨU VÀ QUẢN LÝ TÀI LIỆU</w:t>
      </w:r>
    </w:p>
    <w:p>
      <w:pPr>
        <w:pStyle w:val="Heading2"/>
      </w:pPr>
      <w:r>
        <w:t>1.1. Giải thích cơ chế 'Google Search của bảng tính' thông qua tính năng AutoFilter</w:t>
      </w:r>
    </w:p>
    <w:p>
      <w:pPr>
        <w:spacing w:line="276" w:lineRule="auto" w:after="120"/>
      </w:pPr>
      <w:r>
        <w:rPr>
          <w:rFonts w:ascii="Inter" w:hAnsi="Inter"/>
          <w:color w:val="0F172A"/>
          <w:sz w:val="22"/>
        </w:rPr>
        <w:t>Trong quá trình vận hành tại Trung tâm an ninh mạng NetGuard, bảng Nhật ký hệ thống (System Log) thường ghi nhận hàng nghìn dòng sự kiện mỗi ngày. Nếu người kiểm tra phải cuộn chuột đọc từng dòng để tìm một địa chỉ IP đáng ngờ hoặc một mã độc cụ thể thì sẽ mất rất nhiều thời gian và dễ bỏ sót cảnh báo quan trọng. Tính năng AutoFilter (Bộ lọc tự động) trong Excel hoạt động giống như một công cụ 'Google Search thu nhỏ' ngay bên trong bảng tính.</w:t>
      </w:r>
    </w:p>
    <w:p>
      <w:pPr>
        <w:pStyle w:val="ListBullet"/>
        <w:spacing w:line="276" w:lineRule="auto" w:before="20" w:after="80"/>
      </w:pPr>
      <w:r>
        <w:rPr>
          <w:rFonts w:ascii="Inter" w:hAnsi="Inter"/>
          <w:b/>
          <w:color w:val="0F172A"/>
          <w:sz w:val="22"/>
        </w:rPr>
        <w:t xml:space="preserve">Hộp tìm kiếm tức thời (Search Box): </w:t>
      </w:r>
      <w:r>
        <w:rPr>
          <w:rFonts w:ascii="Inter" w:hAnsi="Inter"/>
          <w:color w:val="0F172A"/>
          <w:sz w:val="22"/>
        </w:rPr>
        <w:t>Khi bật AutoFilter (thông qua thẻ Data -&gt; Filter hoặc phím tắt Ctrl + Shift + L), mỗi tiêu đề cột sẽ xuất hiện một nút mũi tên thả xuống. Khi bấm vào mũi tên này, một ô 'Search' hiện ra cho phép người dùng gõ từ khóa bất kỳ (ví dụ: gõ '192.168.1.10', 'Emotet' hoặc 'MDL_1023'). Excel sẽ lập tức lọc và giữ lại các dòng khớp với từ khóa mà không cần viết công thức phức tạp.</w:t>
      </w:r>
    </w:p>
    <w:p>
      <w:pPr>
        <w:pStyle w:val="ListBullet"/>
        <w:spacing w:line="276" w:lineRule="auto" w:before="20" w:after="80"/>
      </w:pPr>
      <w:r>
        <w:rPr>
          <w:rFonts w:ascii="Inter" w:hAnsi="Inter"/>
          <w:b/>
          <w:color w:val="0F172A"/>
          <w:sz w:val="22"/>
        </w:rPr>
        <w:t xml:space="preserve">Cơ chế ẩn dòng tạm thời (Non-destructive Filtering): </w:t>
      </w:r>
      <w:r>
        <w:rPr>
          <w:rFonts w:ascii="Inter" w:hAnsi="Inter"/>
          <w:color w:val="0F172A"/>
          <w:sz w:val="22"/>
        </w:rPr>
        <w:t>Giống như khi tìm kiếm trên Google chỉ hiển thị các kết quả phù hợp nhất, AutoFilter chỉ tạm thời ẩn đi những dòng không thỏa mãn điều kiện chứ không xóa mất dữ liệu gốc. Khi bỏ chọn bộ lọc (Clear Filter), toàn bộ bảng nhật ký ban đầu sẽ hiển thị trở lại nguyên vẹn.</w:t>
      </w:r>
    </w:p>
    <w:p>
      <w:pPr>
        <w:pStyle w:val="ListBullet"/>
        <w:spacing w:line="276" w:lineRule="auto" w:before="20" w:after="80"/>
      </w:pPr>
      <w:r>
        <w:rPr>
          <w:rFonts w:ascii="Inter" w:hAnsi="Inter"/>
          <w:b/>
          <w:color w:val="0F172A"/>
          <w:sz w:val="22"/>
        </w:rPr>
        <w:t xml:space="preserve">Kết hợp nhiều điều kiện lọc (Multi-column Filtering): </w:t>
      </w:r>
      <w:r>
        <w:rPr>
          <w:rFonts w:ascii="Inter" w:hAnsi="Inter"/>
          <w:color w:val="0F172A"/>
          <w:sz w:val="22"/>
        </w:rPr>
        <w:t>Sinh viên hoặc nhân viên trực hệ thống có thể lọc đồng thời trên nhiều cột. Ví dụ: tại cột 'Mức độ' chọn 'Cao', đồng thời tại cột 'Nguồn' gõ tìm '192.168.1.10' để khoanh vùng ngay máy trạm đang bị tấn công nguy hiểm nhất.</w:t>
      </w:r>
    </w:p>
    <w:p>
      <w:pPr>
        <w:pStyle w:val="Heading2"/>
      </w:pPr>
      <w:r>
        <w:t>1.2. Kỹ thuật nối dữ liệu bằng hàm VLOOKUP bọc hàm TRIM</w:t>
      </w:r>
    </w:p>
    <w:p>
      <w:pPr>
        <w:spacing w:line="276" w:lineRule="auto" w:after="120"/>
      </w:pPr>
      <w:r>
        <w:rPr>
          <w:rFonts w:ascii="Inter" w:hAnsi="Inter"/>
          <w:color w:val="0F172A"/>
          <w:sz w:val="22"/>
        </w:rPr>
        <w:t>Trong thực tế, dữ liệu cảnh báo thô xuất ra từ các thiết bị tường lửa hoặc phần mềm giám sát thường không đồng nhất và hay bị dính khoảng trắng thừa ở đầu hoặc cuối chuỗi (ví dụ: ' MDL_1023 ' thay vì 'MDL_1023'). Đối với mắt thường, hai chuỗi này nhìn giống hệt nhau, nhưng Excel lại coi chúng là hai giá trị khác nhau hoàn toàn. Nếu chỉ dùng hàm VLOOKUP thông thường, Excel sẽ không tìm thấy mã và trả về lỗi #N/A.</w:t>
      </w:r>
    </w:p>
    <w:p>
      <w:pPr>
        <w:spacing w:line="276" w:lineRule="auto" w:after="120"/>
      </w:pPr>
      <w:r>
        <w:rPr>
          <w:rFonts w:ascii="Inter" w:hAnsi="Inter"/>
          <w:b/>
          <w:color w:val="0F172A"/>
          <w:sz w:val="22"/>
        </w:rPr>
        <w:t xml:space="preserve">Công thức áp dụng tại bảng Nhật ký hệ thống: </w:t>
      </w:r>
      <w:r>
        <w:rPr>
          <w:rFonts w:ascii="Inter" w:hAnsi="Inter"/>
          <w:color w:val="0F172A"/>
          <w:sz w:val="22"/>
        </w:rPr>
        <w:t>=IFERROR(VLOOKUP(TRIM(E5), 'Cơ sở dữ liệu virus'!$A$5:$D$8, 2, FALSE), "Không xác định")</w:t>
      </w:r>
    </w:p>
    <w:p>
      <w:pPr>
        <w:pStyle w:val="ListBullet"/>
        <w:spacing w:line="276" w:lineRule="auto" w:before="20" w:after="80"/>
      </w:pPr>
      <w:r>
        <w:rPr>
          <w:rFonts w:ascii="Inter" w:hAnsi="Inter"/>
          <w:b/>
          <w:color w:val="0F172A"/>
          <w:sz w:val="22"/>
        </w:rPr>
        <w:t xml:space="preserve">Vai trò của hàm TRIM(E5): </w:t>
      </w:r>
      <w:r>
        <w:rPr>
          <w:rFonts w:ascii="Inter" w:hAnsi="Inter"/>
          <w:color w:val="0F172A"/>
          <w:sz w:val="22"/>
        </w:rPr>
        <w:t>Hàm TRIM có nhiệm vụ cắt bỏ toàn bộ khoảng trắng thừa ở đầu, ở cuối và rút gọn các khoảng trắng kép ở giữa chuỗi trong ô E5 trước khi đưa giá trị đó vào hàm VLOOKUP. Nhờ vậy, mã ' MDL_1023 ' được làm sạch thành 'MDL_1023' chuẩn xác.</w:t>
      </w:r>
    </w:p>
    <w:p>
      <w:pPr>
        <w:pStyle w:val="ListBullet"/>
        <w:spacing w:line="276" w:lineRule="auto" w:before="20" w:after="80"/>
      </w:pPr>
      <w:r>
        <w:rPr>
          <w:rFonts w:ascii="Inter" w:hAnsi="Inter"/>
          <w:b/>
          <w:color w:val="0F172A"/>
          <w:sz w:val="22"/>
        </w:rPr>
        <w:t xml:space="preserve">Vai trò của tham số FALSE (hoặc 0) trong VLOOKUP: </w:t>
      </w:r>
      <w:r>
        <w:rPr>
          <w:rFonts w:ascii="Inter" w:hAnsi="Inter"/>
          <w:color w:val="0F172A"/>
          <w:sz w:val="22"/>
        </w:rPr>
        <w:t>Bắt buộc Excel phải dò tìm chính xác tuyệt đối (Exact Match) mã loại virus trong bảng 'Cơ sở dữ liệu virus' (vùng cố định $A$5:$D$8), sau đó lấy tên mã độc ở cột thứ 2 hoặc mô tả ở cột thứ 3.</w:t>
      </w:r>
    </w:p>
    <w:p>
      <w:pPr>
        <w:pStyle w:val="Heading2"/>
      </w:pPr>
      <w:r>
        <w:t>1.3. Sử dụng Navigation Pane và Auto TOC để quản lý báo cáo dài</w:t>
      </w:r>
    </w:p>
    <w:p>
      <w:pPr>
        <w:spacing w:line="276" w:lineRule="auto" w:after="120"/>
      </w:pPr>
      <w:r>
        <w:rPr>
          <w:rFonts w:ascii="Inter" w:hAnsi="Inter"/>
          <w:color w:val="0F172A"/>
          <w:sz w:val="22"/>
        </w:rPr>
        <w:t>Khi báo cáo sự cố an ninh (Incident Report) dài lên tới hàng chục trang, việc quản lý cấu trúc tài liệu bằng cách tô đậm thủ công sẽ khiến người đọc không thể tra cứu nhanh. Để giải quyết vấn đề này, tài liệu được chuẩn hóa bằng hai công cụ của Microsoft Word:</w:t>
      </w:r>
    </w:p>
    <w:p>
      <w:pPr>
        <w:pStyle w:val="ListBullet"/>
        <w:spacing w:line="276" w:lineRule="auto" w:before="20" w:after="80"/>
      </w:pPr>
      <w:r>
        <w:rPr>
          <w:rFonts w:ascii="Inter" w:hAnsi="Inter"/>
          <w:b/>
          <w:color w:val="0F172A"/>
          <w:sz w:val="22"/>
        </w:rPr>
        <w:t xml:space="preserve">Quản lý bằng Navigation Pane (View -&gt; tích chọn Navigation Pane hoặc nhấn Ctrl + F): </w:t>
      </w:r>
      <w:r>
        <w:rPr>
          <w:rFonts w:ascii="Inter" w:hAnsi="Inter"/>
          <w:color w:val="0F172A"/>
          <w:sz w:val="22"/>
        </w:rPr>
        <w:t>Bằng cách gắn kiểu Heading 1 cho các phần lớn và Heading 2 cho các mục con, toàn bộ khung sườn bài báo cáo sẽ hiện lên ở thanh điều hướng bên trái màn hình. Giảng viên hoặc khách hàng chỉ cần nhấp chuột vào tên mục trên Navigation Pane để nhảy tới đúng phần đó ngay lập tức.</w:t>
      </w:r>
    </w:p>
    <w:p>
      <w:pPr>
        <w:pStyle w:val="ListBullet"/>
        <w:spacing w:line="276" w:lineRule="auto" w:before="20" w:after="80"/>
      </w:pPr>
      <w:r>
        <w:rPr>
          <w:rFonts w:ascii="Inter" w:hAnsi="Inter"/>
          <w:b/>
          <w:color w:val="0F172A"/>
          <w:sz w:val="22"/>
        </w:rPr>
        <w:t xml:space="preserve">Mục lục tự động (Auto TOC - References -&gt; Table of Contents): </w:t>
      </w:r>
      <w:r>
        <w:rPr>
          <w:rFonts w:ascii="Inter" w:hAnsi="Inter"/>
          <w:color w:val="0F172A"/>
          <w:sz w:val="22"/>
        </w:rPr>
        <w:t>Mục lục tự động lấy dữ liệu trực tiếp từ các thẻ Heading. Khi thêm hoặc bớt nội dung làm thay đổi vị trí trang, người viết chỉ cần nhấn 'Update Table' là toàn bộ số trang trên mục lục sẽ tự động nhảy đúng theo trang mới mà không sợ lệch trang.</w:t>
      </w:r>
    </w:p>
    <w:p>
      <w:pPr>
        <w:pStyle w:val="Heading1"/>
      </w:pPr>
      <w:r>
        <w:t>PHẦN 2. TRIỂN KHAI BÁO CÁO SỰ CỐ AN NINH MẠNG NETGUARD</w:t>
      </w:r>
    </w:p>
    <w:p>
      <w:pPr>
        <w:pStyle w:val="Heading2"/>
      </w:pPr>
      <w:r>
        <w:t>2.1. Tổng quan sự kiện an ninh (Executive Summary)</w:t>
      </w:r>
    </w:p>
    <w:p>
      <w:pPr>
        <w:spacing w:line="276" w:lineRule="auto" w:after="120"/>
      </w:pPr>
      <w:r>
        <w:rPr>
          <w:rFonts w:ascii="Inter" w:hAnsi="Inter"/>
          <w:color w:val="0F172A"/>
          <w:sz w:val="22"/>
        </w:rPr>
        <w:t>Trong kỳ giám sát ngày 20/05/2024, Trung tâm an ninh mạng NetGuard đã thu thập dữ liệu từ hệ thống nhật ký cảnh báo thô (System Log), thực hiện chuẩn hóa chuỗi bằng hàm TRIM và đối chiếu tự động với Cơ sở dữ liệu định nghĩa mã độc. Tổng cộng hệ thống đã ghi nhận 1,248 cảnh báo an ninh trên mạng nội bộ của khách hàng.</w:t>
      </w:r>
    </w:p>
    <w:p>
      <w:pPr>
        <w:spacing w:before="80" w:after="40"/>
        <w:jc w:val="center"/>
      </w:pPr>
      <w:r>
        <w:drawing>
          <wp:inline xmlns:a="http://schemas.openxmlformats.org/drawingml/2006/main" xmlns:pic="http://schemas.openxmlformats.org/drawingml/2006/picture">
            <wp:extent cx="5303520" cy="3532227"/>
            <wp:docPr id="1" name="Picture 1"/>
            <wp:cNvGraphicFramePr>
              <a:graphicFrameLocks noChangeAspect="1"/>
            </wp:cNvGraphicFramePr>
            <a:graphic>
              <a:graphicData uri="http://schemas.openxmlformats.org/drawingml/2006/picture">
                <pic:pic>
                  <pic:nvPicPr>
                    <pic:cNvPr id="0" name="image_4f019e.jpg"/>
                    <pic:cNvPicPr/>
                  </pic:nvPicPr>
                  <pic:blipFill>
                    <a:blip r:embed="rId9"/>
                    <a:stretch>
                      <a:fillRect/>
                    </a:stretch>
                  </pic:blipFill>
                  <pic:spPr>
                    <a:xfrm>
                      <a:off x="0" y="0"/>
                      <a:ext cx="5303520" cy="3532227"/>
                    </a:xfrm>
                    <a:prstGeom prst="rect"/>
                  </pic:spPr>
                </pic:pic>
              </a:graphicData>
            </a:graphic>
          </wp:inline>
        </w:drawing>
      </w:r>
    </w:p>
    <w:p>
      <w:pPr>
        <w:spacing w:after="160"/>
        <w:jc w:val="center"/>
      </w:pPr>
      <w:r>
        <w:rPr>
          <w:rFonts w:ascii="Inter" w:hAnsi="Inter"/>
          <w:i/>
          <w:color w:val="475569"/>
          <w:sz w:val="19"/>
        </w:rPr>
        <w:t>Hình 1: Mô hình kết nối và chuẩn hóa từ dữ liệu cảnh báo thô đến báo cáo chuyên nghiệp tại NetGuard.</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vAlign w:val="center"/>
            <w:shd w:fill="1E3A8A"/>
          </w:tcPr>
          <w:p>
            <w:pPr>
              <w:keepNext/>
              <w:spacing w:before="60" w:after="60"/>
              <w:jc w:val="center"/>
            </w:pPr>
            <w:r>
              <w:rPr>
                <w:rFonts w:ascii="Inter" w:hAnsi="Inter"/>
                <w:b/>
                <w:color w:val="FFFFFF"/>
                <w:sz w:val="20"/>
              </w:rPr>
              <w:t>Phân loại cảnh báo</w:t>
            </w:r>
          </w:p>
        </w:tc>
        <w:tc>
          <w:tcPr>
            <w:tcW w:type="dxa" w:w="2340"/>
            <w:vAlign w:val="center"/>
            <w:shd w:fill="1E3A8A"/>
          </w:tcPr>
          <w:p>
            <w:pPr>
              <w:keepNext/>
              <w:spacing w:before="60" w:after="60"/>
              <w:jc w:val="center"/>
            </w:pPr>
            <w:r>
              <w:rPr>
                <w:rFonts w:ascii="Inter" w:hAnsi="Inter"/>
                <w:b/>
                <w:color w:val="FFFFFF"/>
                <w:sz w:val="20"/>
              </w:rPr>
              <w:t>Số lượng sự kiện</w:t>
            </w:r>
          </w:p>
        </w:tc>
        <w:tc>
          <w:tcPr>
            <w:tcW w:type="dxa" w:w="2340"/>
            <w:vAlign w:val="center"/>
            <w:shd w:fill="1E3A8A"/>
          </w:tcPr>
          <w:p>
            <w:pPr>
              <w:keepNext/>
              <w:spacing w:before="60" w:after="60"/>
              <w:jc w:val="center"/>
            </w:pPr>
            <w:r>
              <w:rPr>
                <w:rFonts w:ascii="Inter" w:hAnsi="Inter"/>
                <w:b/>
                <w:color w:val="FFFFFF"/>
                <w:sz w:val="20"/>
              </w:rPr>
              <w:t>Tỷ lệ (%)</w:t>
            </w:r>
          </w:p>
        </w:tc>
        <w:tc>
          <w:tcPr>
            <w:tcW w:type="dxa" w:w="2340"/>
            <w:vAlign w:val="center"/>
            <w:shd w:fill="1E3A8A"/>
          </w:tcPr>
          <w:p>
            <w:pPr>
              <w:keepNext/>
              <w:spacing w:before="60" w:after="60"/>
              <w:jc w:val="center"/>
            </w:pPr>
            <w:r>
              <w:rPr>
                <w:rFonts w:ascii="Inter" w:hAnsi="Inter"/>
                <w:b/>
                <w:color w:val="FFFFFF"/>
                <w:sz w:val="20"/>
              </w:rPr>
              <w:t>Đánh giá mức độ ưu tiên</w:t>
            </w:r>
          </w:p>
        </w:tc>
      </w:tr>
      <w:tr>
        <w:trPr>
          <w:cantSplit/>
        </w:trPr>
        <w:tc>
          <w:tcPr>
            <w:tcW w:type="dxa" w:w="2340"/>
            <w:vAlign w:val="center"/>
          </w:tcPr>
          <w:p>
            <w:pPr>
              <w:keepNext/>
              <w:spacing w:before="60" w:after="60"/>
              <w:jc w:val="left"/>
            </w:pPr>
            <w:r>
              <w:rPr>
                <w:rFonts w:ascii="Inter" w:hAnsi="Inter"/>
                <w:color w:val="0F172A"/>
                <w:sz w:val="20"/>
              </w:rPr>
              <w:t>Cảnh báo mức độ Cao</w:t>
            </w:r>
          </w:p>
        </w:tc>
        <w:tc>
          <w:tcPr>
            <w:tcW w:type="dxa" w:w="2340"/>
            <w:vAlign w:val="center"/>
          </w:tcPr>
          <w:p>
            <w:pPr>
              <w:keepNext/>
              <w:spacing w:before="60" w:after="60"/>
              <w:jc w:val="right"/>
            </w:pPr>
            <w:r>
              <w:rPr>
                <w:rFonts w:ascii="Inter" w:hAnsi="Inter"/>
                <w:color w:val="0F172A"/>
                <w:sz w:val="20"/>
              </w:rPr>
              <w:t>312</w:t>
            </w:r>
          </w:p>
        </w:tc>
        <w:tc>
          <w:tcPr>
            <w:tcW w:type="dxa" w:w="2340"/>
            <w:vAlign w:val="center"/>
          </w:tcPr>
          <w:p>
            <w:pPr>
              <w:keepNext/>
              <w:spacing w:before="60" w:after="60"/>
              <w:jc w:val="right"/>
            </w:pPr>
            <w:r>
              <w:rPr>
                <w:rFonts w:ascii="Inter" w:hAnsi="Inter"/>
                <w:color w:val="0F172A"/>
                <w:sz w:val="20"/>
              </w:rPr>
              <w:t>25.0%</w:t>
            </w:r>
          </w:p>
        </w:tc>
        <w:tc>
          <w:tcPr>
            <w:tcW w:type="dxa" w:w="2340"/>
            <w:vAlign w:val="center"/>
          </w:tcPr>
          <w:p>
            <w:pPr>
              <w:keepNext/>
              <w:spacing w:before="60" w:after="60"/>
              <w:jc w:val="left"/>
            </w:pPr>
            <w:r>
              <w:rPr>
                <w:rFonts w:ascii="Inter" w:hAnsi="Inter"/>
                <w:color w:val="0F172A"/>
                <w:sz w:val="20"/>
              </w:rPr>
              <w:t>Khẩn cấp - Cần cô lập máy trạm và xử lý ngay</w:t>
            </w:r>
          </w:p>
        </w:tc>
      </w:tr>
      <w:tr>
        <w:trPr>
          <w:cantSplit/>
        </w:trPr>
        <w:tc>
          <w:tcPr>
            <w:tcW w:type="dxa" w:w="2340"/>
            <w:vAlign w:val="center"/>
            <w:shd w:fill="F1F5F9"/>
          </w:tcPr>
          <w:p>
            <w:pPr>
              <w:keepNext/>
              <w:spacing w:before="60" w:after="60"/>
              <w:jc w:val="left"/>
            </w:pPr>
            <w:r>
              <w:rPr>
                <w:rFonts w:ascii="Inter" w:hAnsi="Inter"/>
                <w:color w:val="0F172A"/>
                <w:sz w:val="20"/>
              </w:rPr>
              <w:t>Cảnh báo mức độ Trung bình</w:t>
            </w:r>
          </w:p>
        </w:tc>
        <w:tc>
          <w:tcPr>
            <w:tcW w:type="dxa" w:w="2340"/>
            <w:vAlign w:val="center"/>
            <w:shd w:fill="F1F5F9"/>
          </w:tcPr>
          <w:p>
            <w:pPr>
              <w:keepNext/>
              <w:spacing w:before="60" w:after="60"/>
              <w:jc w:val="right"/>
            </w:pPr>
            <w:r>
              <w:rPr>
                <w:rFonts w:ascii="Inter" w:hAnsi="Inter"/>
                <w:color w:val="0F172A"/>
                <w:sz w:val="20"/>
              </w:rPr>
              <w:t>645</w:t>
            </w:r>
          </w:p>
        </w:tc>
        <w:tc>
          <w:tcPr>
            <w:tcW w:type="dxa" w:w="2340"/>
            <w:vAlign w:val="center"/>
            <w:shd w:fill="F1F5F9"/>
          </w:tcPr>
          <w:p>
            <w:pPr>
              <w:keepNext/>
              <w:spacing w:before="60" w:after="60"/>
              <w:jc w:val="right"/>
            </w:pPr>
            <w:r>
              <w:rPr>
                <w:rFonts w:ascii="Inter" w:hAnsi="Inter"/>
                <w:color w:val="0F172A"/>
                <w:sz w:val="20"/>
              </w:rPr>
              <w:t>51.7%</w:t>
            </w:r>
          </w:p>
        </w:tc>
        <w:tc>
          <w:tcPr>
            <w:tcW w:type="dxa" w:w="2340"/>
            <w:vAlign w:val="center"/>
            <w:shd w:fill="F1F5F9"/>
          </w:tcPr>
          <w:p>
            <w:pPr>
              <w:keepNext/>
              <w:spacing w:before="60" w:after="60"/>
              <w:jc w:val="left"/>
            </w:pPr>
            <w:r>
              <w:rPr>
                <w:rFonts w:ascii="Inter" w:hAnsi="Inter"/>
                <w:color w:val="0F172A"/>
                <w:sz w:val="20"/>
              </w:rPr>
              <w:t>Cảnh báo - Cần quét mã độc và đổi mật khẩu</w:t>
            </w:r>
          </w:p>
        </w:tc>
      </w:tr>
      <w:tr>
        <w:trPr>
          <w:cantSplit/>
        </w:trPr>
        <w:tc>
          <w:tcPr>
            <w:tcW w:type="dxa" w:w="2340"/>
            <w:vAlign w:val="center"/>
          </w:tcPr>
          <w:p>
            <w:pPr>
              <w:keepNext/>
              <w:spacing w:before="60" w:after="60"/>
              <w:jc w:val="left"/>
            </w:pPr>
            <w:r>
              <w:rPr>
                <w:rFonts w:ascii="Inter" w:hAnsi="Inter"/>
                <w:color w:val="0F172A"/>
                <w:sz w:val="20"/>
              </w:rPr>
              <w:t>Cảnh báo mức độ Thấp</w:t>
            </w:r>
          </w:p>
        </w:tc>
        <w:tc>
          <w:tcPr>
            <w:tcW w:type="dxa" w:w="2340"/>
            <w:vAlign w:val="center"/>
          </w:tcPr>
          <w:p>
            <w:pPr>
              <w:keepNext/>
              <w:spacing w:before="60" w:after="60"/>
              <w:jc w:val="right"/>
            </w:pPr>
            <w:r>
              <w:rPr>
                <w:rFonts w:ascii="Inter" w:hAnsi="Inter"/>
                <w:color w:val="0F172A"/>
                <w:sz w:val="20"/>
              </w:rPr>
              <w:t>291</w:t>
            </w:r>
          </w:p>
        </w:tc>
        <w:tc>
          <w:tcPr>
            <w:tcW w:type="dxa" w:w="2340"/>
            <w:vAlign w:val="center"/>
          </w:tcPr>
          <w:p>
            <w:pPr>
              <w:keepNext/>
              <w:spacing w:before="60" w:after="60"/>
              <w:jc w:val="right"/>
            </w:pPr>
            <w:r>
              <w:rPr>
                <w:rFonts w:ascii="Inter" w:hAnsi="Inter"/>
                <w:color w:val="0F172A"/>
                <w:sz w:val="20"/>
              </w:rPr>
              <w:t>23.3%</w:t>
            </w:r>
          </w:p>
        </w:tc>
        <w:tc>
          <w:tcPr>
            <w:tcW w:type="dxa" w:w="2340"/>
            <w:vAlign w:val="center"/>
          </w:tcPr>
          <w:p>
            <w:pPr>
              <w:keepNext/>
              <w:spacing w:before="60" w:after="60"/>
              <w:jc w:val="left"/>
            </w:pPr>
            <w:r>
              <w:rPr>
                <w:rFonts w:ascii="Inter" w:hAnsi="Inter"/>
                <w:color w:val="0F172A"/>
                <w:sz w:val="20"/>
              </w:rPr>
              <w:t>Theo dõi - Giám sát định kỳ qua tường lửa</w:t>
            </w:r>
          </w:p>
        </w:tc>
      </w:tr>
      <w:tr>
        <w:trPr>
          <w:cantSplit/>
        </w:trPr>
        <w:tc>
          <w:tcPr>
            <w:tcW w:type="dxa" w:w="2340"/>
            <w:vAlign w:val="center"/>
            <w:shd w:fill="F1F5F9"/>
          </w:tcPr>
          <w:p>
            <w:pPr>
              <w:spacing w:before="60" w:after="60"/>
              <w:jc w:val="left"/>
            </w:pPr>
            <w:r>
              <w:rPr>
                <w:rFonts w:ascii="Inter" w:hAnsi="Inter"/>
                <w:b/>
                <w:color w:val="0F172A"/>
                <w:sz w:val="20"/>
              </w:rPr>
              <w:t>TỔNG CỘNG CẢNH BÁO</w:t>
            </w:r>
          </w:p>
        </w:tc>
        <w:tc>
          <w:tcPr>
            <w:tcW w:type="dxa" w:w="2340"/>
            <w:vAlign w:val="center"/>
            <w:shd w:fill="F1F5F9"/>
          </w:tcPr>
          <w:p>
            <w:pPr>
              <w:spacing w:before="60" w:after="60"/>
              <w:jc w:val="right"/>
            </w:pPr>
            <w:r>
              <w:rPr>
                <w:rFonts w:ascii="Inter" w:hAnsi="Inter"/>
                <w:b/>
                <w:color w:val="0F172A"/>
                <w:sz w:val="20"/>
              </w:rPr>
              <w:t>1,248</w:t>
            </w:r>
          </w:p>
        </w:tc>
        <w:tc>
          <w:tcPr>
            <w:tcW w:type="dxa" w:w="2340"/>
            <w:vAlign w:val="center"/>
            <w:shd w:fill="F1F5F9"/>
          </w:tcPr>
          <w:p>
            <w:pPr>
              <w:spacing w:before="60" w:after="60"/>
              <w:jc w:val="right"/>
            </w:pPr>
            <w:r>
              <w:rPr>
                <w:rFonts w:ascii="Inter" w:hAnsi="Inter"/>
                <w:b/>
                <w:color w:val="0F172A"/>
                <w:sz w:val="20"/>
              </w:rPr>
              <w:t>100.0%</w:t>
            </w:r>
          </w:p>
        </w:tc>
        <w:tc>
          <w:tcPr>
            <w:tcW w:type="dxa" w:w="2340"/>
            <w:vAlign w:val="center"/>
            <w:shd w:fill="F1F5F9"/>
          </w:tcPr>
          <w:p>
            <w:pPr>
              <w:spacing w:before="60" w:after="60"/>
              <w:jc w:val="left"/>
            </w:pPr>
            <w:r>
              <w:rPr>
                <w:rFonts w:ascii="Inter" w:hAnsi="Inter"/>
                <w:b/>
                <w:color w:val="0F172A"/>
                <w:sz w:val="20"/>
              </w:rPr>
              <w:t>Toàn bộ sự kiện đã được phân loại</w:t>
            </w:r>
          </w:p>
        </w:tc>
      </w:tr>
    </w:tbl>
    <w:p>
      <w:pPr>
        <w:spacing w:before="0" w:after="80"/>
      </w:pPr>
    </w:p>
    <w:p>
      <w:pPr>
        <w:pStyle w:val="Heading2"/>
      </w:pPr>
      <w:r>
        <w:t>2.2. Kết quả đối chiếu Nhật ký hệ thống và Cơ sở dữ liệu virus</w:t>
      </w:r>
    </w:p>
    <w:p>
      <w:pPr>
        <w:spacing w:line="276" w:lineRule="auto" w:after="120"/>
      </w:pPr>
      <w:r>
        <w:rPr>
          <w:rFonts w:ascii="Inter" w:hAnsi="Inter"/>
          <w:color w:val="0F172A"/>
          <w:sz w:val="22"/>
        </w:rPr>
        <w:t>Sau khi áp dụng công thức VLOOKUP kết hợp hàm TRIM để nối bảng 'Dữ liệu cảnh báo thô' với 'Bảng định nghĩa loại mã độc', hệ thống đã xác định rõ danh tính và hành vi của từng loại mã độc xuất hiện trong mạng nội bộ:</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shd w:fill="1E3A8A"/>
          </w:tcPr>
          <w:p>
            <w:pPr>
              <w:keepNext/>
              <w:spacing w:before="60" w:after="60"/>
              <w:jc w:val="center"/>
            </w:pPr>
            <w:r>
              <w:rPr>
                <w:rFonts w:ascii="Inter" w:hAnsi="Inter"/>
                <w:b/>
                <w:color w:val="FFFFFF"/>
                <w:sz w:val="20"/>
              </w:rPr>
              <w:t>Mã loại (ID)</w:t>
            </w:r>
          </w:p>
        </w:tc>
        <w:tc>
          <w:tcPr>
            <w:tcW w:type="dxa" w:w="1560"/>
            <w:vAlign w:val="center"/>
            <w:shd w:fill="1E3A8A"/>
          </w:tcPr>
          <w:p>
            <w:pPr>
              <w:keepNext/>
              <w:spacing w:before="60" w:after="60"/>
              <w:jc w:val="center"/>
            </w:pPr>
            <w:r>
              <w:rPr>
                <w:rFonts w:ascii="Inter" w:hAnsi="Inter"/>
                <w:b/>
                <w:color w:val="FFFFFF"/>
                <w:sz w:val="20"/>
              </w:rPr>
              <w:t>Tên mã độc</w:t>
            </w:r>
          </w:p>
        </w:tc>
        <w:tc>
          <w:tcPr>
            <w:tcW w:type="dxa" w:w="1560"/>
            <w:vAlign w:val="center"/>
            <w:shd w:fill="1E3A8A"/>
          </w:tcPr>
          <w:p>
            <w:pPr>
              <w:keepNext/>
              <w:spacing w:before="60" w:after="60"/>
              <w:jc w:val="center"/>
            </w:pPr>
            <w:r>
              <w:rPr>
                <w:rFonts w:ascii="Inter" w:hAnsi="Inter"/>
                <w:b/>
                <w:color w:val="FFFFFF"/>
                <w:sz w:val="20"/>
              </w:rPr>
              <w:t>Mô tả hành vi</w:t>
            </w:r>
          </w:p>
        </w:tc>
        <w:tc>
          <w:tcPr>
            <w:tcW w:type="dxa" w:w="1560"/>
            <w:vAlign w:val="center"/>
            <w:shd w:fill="1E3A8A"/>
          </w:tcPr>
          <w:p>
            <w:pPr>
              <w:keepNext/>
              <w:spacing w:before="60" w:after="60"/>
              <w:jc w:val="center"/>
            </w:pPr>
            <w:r>
              <w:rPr>
                <w:rFonts w:ascii="Inter" w:hAnsi="Inter"/>
                <w:b/>
                <w:color w:val="FFFFFF"/>
                <w:sz w:val="20"/>
              </w:rPr>
              <w:t>Mức độ</w:t>
            </w:r>
          </w:p>
        </w:tc>
        <w:tc>
          <w:tcPr>
            <w:tcW w:type="dxa" w:w="1560"/>
            <w:vAlign w:val="center"/>
            <w:shd w:fill="1E3A8A"/>
          </w:tcPr>
          <w:p>
            <w:pPr>
              <w:keepNext/>
              <w:spacing w:before="60" w:after="60"/>
              <w:jc w:val="center"/>
            </w:pPr>
            <w:r>
              <w:rPr>
                <w:rFonts w:ascii="Inter" w:hAnsi="Inter"/>
                <w:b/>
                <w:color w:val="FFFFFF"/>
                <w:sz w:val="20"/>
              </w:rPr>
              <w:t>Số cảnh báo</w:t>
            </w:r>
          </w:p>
        </w:tc>
        <w:tc>
          <w:tcPr>
            <w:tcW w:type="dxa" w:w="1560"/>
            <w:vAlign w:val="center"/>
            <w:shd w:fill="1E3A8A"/>
          </w:tcPr>
          <w:p>
            <w:pPr>
              <w:keepNext/>
              <w:spacing w:before="60" w:after="60"/>
              <w:jc w:val="center"/>
            </w:pPr>
            <w:r>
              <w:rPr>
                <w:rFonts w:ascii="Inter" w:hAnsi="Inter"/>
                <w:b/>
                <w:color w:val="FFFFFF"/>
                <w:sz w:val="20"/>
              </w:rPr>
              <w:t>Tỷ trọng</w:t>
            </w:r>
          </w:p>
        </w:tc>
      </w:tr>
      <w:tr>
        <w:trPr>
          <w:cantSplit/>
        </w:trPr>
        <w:tc>
          <w:tcPr>
            <w:tcW w:type="dxa" w:w="1560"/>
            <w:vAlign w:val="center"/>
          </w:tcPr>
          <w:p>
            <w:pPr>
              <w:keepNext/>
              <w:spacing w:before="60" w:after="60"/>
              <w:jc w:val="center"/>
            </w:pPr>
            <w:r>
              <w:rPr>
                <w:rFonts w:ascii="Inter" w:hAnsi="Inter"/>
                <w:color w:val="0F172A"/>
                <w:sz w:val="20"/>
              </w:rPr>
              <w:t>MDL_1023</w:t>
            </w:r>
          </w:p>
        </w:tc>
        <w:tc>
          <w:tcPr>
            <w:tcW w:type="dxa" w:w="1560"/>
            <w:vAlign w:val="center"/>
          </w:tcPr>
          <w:p>
            <w:pPr>
              <w:keepNext/>
              <w:spacing w:before="60" w:after="60"/>
              <w:jc w:val="left"/>
            </w:pPr>
            <w:r>
              <w:rPr>
                <w:rFonts w:ascii="Inter" w:hAnsi="Inter"/>
                <w:color w:val="0F172A"/>
                <w:sz w:val="20"/>
              </w:rPr>
              <w:t>Emotet</w:t>
            </w:r>
          </w:p>
        </w:tc>
        <w:tc>
          <w:tcPr>
            <w:tcW w:type="dxa" w:w="1560"/>
            <w:vAlign w:val="center"/>
          </w:tcPr>
          <w:p>
            <w:pPr>
              <w:keepNext/>
              <w:spacing w:before="60" w:after="60"/>
              <w:jc w:val="left"/>
            </w:pPr>
            <w:r>
              <w:rPr>
                <w:rFonts w:ascii="Inter" w:hAnsi="Inter"/>
                <w:color w:val="0F172A"/>
                <w:sz w:val="20"/>
              </w:rPr>
              <w:t>Banking Trojan (Đánh cắp thông tin tài chính)</w:t>
            </w:r>
          </w:p>
        </w:tc>
        <w:tc>
          <w:tcPr>
            <w:tcW w:type="dxa" w:w="1560"/>
            <w:vAlign w:val="center"/>
          </w:tcPr>
          <w:p>
            <w:pPr>
              <w:keepNext/>
              <w:spacing w:before="60" w:after="60"/>
              <w:jc w:val="center"/>
            </w:pPr>
            <w:r>
              <w:rPr>
                <w:rFonts w:ascii="Inter" w:hAnsi="Inter"/>
                <w:color w:val="0F172A"/>
                <w:sz w:val="20"/>
              </w:rPr>
              <w:t>Cao</w:t>
            </w:r>
          </w:p>
        </w:tc>
        <w:tc>
          <w:tcPr>
            <w:tcW w:type="dxa" w:w="1560"/>
            <w:vAlign w:val="center"/>
          </w:tcPr>
          <w:p>
            <w:pPr>
              <w:keepNext/>
              <w:spacing w:before="60" w:after="60"/>
              <w:jc w:val="right"/>
            </w:pPr>
            <w:r>
              <w:rPr>
                <w:rFonts w:ascii="Inter" w:hAnsi="Inter"/>
                <w:color w:val="0F172A"/>
                <w:sz w:val="20"/>
              </w:rPr>
              <w:t>312</w:t>
            </w:r>
          </w:p>
        </w:tc>
        <w:tc>
          <w:tcPr>
            <w:tcW w:type="dxa" w:w="1560"/>
            <w:vAlign w:val="center"/>
          </w:tcPr>
          <w:p>
            <w:pPr>
              <w:keepNext/>
              <w:spacing w:before="60" w:after="60"/>
              <w:jc w:val="right"/>
            </w:pPr>
            <w:r>
              <w:rPr>
                <w:rFonts w:ascii="Inter" w:hAnsi="Inter"/>
                <w:color w:val="0F172A"/>
                <w:sz w:val="20"/>
              </w:rPr>
              <w:t>25.0%</w:t>
            </w:r>
          </w:p>
        </w:tc>
      </w:tr>
      <w:tr>
        <w:trPr>
          <w:cantSplit/>
        </w:trPr>
        <w:tc>
          <w:tcPr>
            <w:tcW w:type="dxa" w:w="1560"/>
            <w:vAlign w:val="center"/>
            <w:shd w:fill="F1F5F9"/>
          </w:tcPr>
          <w:p>
            <w:pPr>
              <w:keepNext/>
              <w:spacing w:before="60" w:after="60"/>
              <w:jc w:val="center"/>
            </w:pPr>
            <w:r>
              <w:rPr>
                <w:rFonts w:ascii="Inter" w:hAnsi="Inter"/>
                <w:color w:val="0F172A"/>
                <w:sz w:val="20"/>
              </w:rPr>
              <w:t>MDL_2045</w:t>
            </w:r>
          </w:p>
        </w:tc>
        <w:tc>
          <w:tcPr>
            <w:tcW w:type="dxa" w:w="1560"/>
            <w:vAlign w:val="center"/>
            <w:shd w:fill="F1F5F9"/>
          </w:tcPr>
          <w:p>
            <w:pPr>
              <w:keepNext/>
              <w:spacing w:before="60" w:after="60"/>
              <w:jc w:val="left"/>
            </w:pPr>
            <w:r>
              <w:rPr>
                <w:rFonts w:ascii="Inter" w:hAnsi="Inter"/>
                <w:color w:val="0F172A"/>
                <w:sz w:val="20"/>
              </w:rPr>
              <w:t>Lokibot</w:t>
            </w:r>
          </w:p>
        </w:tc>
        <w:tc>
          <w:tcPr>
            <w:tcW w:type="dxa" w:w="1560"/>
            <w:vAlign w:val="center"/>
            <w:shd w:fill="F1F5F9"/>
          </w:tcPr>
          <w:p>
            <w:pPr>
              <w:keepNext/>
              <w:spacing w:before="60" w:after="60"/>
              <w:jc w:val="left"/>
            </w:pPr>
            <w:r>
              <w:rPr>
                <w:rFonts w:ascii="Inter" w:hAnsi="Inter"/>
                <w:color w:val="0F172A"/>
                <w:sz w:val="20"/>
              </w:rPr>
              <w:t>Info Stealer (Đánh cắp mật khẩu, dữ liệu)</w:t>
            </w:r>
          </w:p>
        </w:tc>
        <w:tc>
          <w:tcPr>
            <w:tcW w:type="dxa" w:w="1560"/>
            <w:vAlign w:val="center"/>
            <w:shd w:fill="F1F5F9"/>
          </w:tcPr>
          <w:p>
            <w:pPr>
              <w:keepNext/>
              <w:spacing w:before="60" w:after="60"/>
              <w:jc w:val="center"/>
            </w:pPr>
            <w:r>
              <w:rPr>
                <w:rFonts w:ascii="Inter" w:hAnsi="Inter"/>
                <w:color w:val="0F172A"/>
                <w:sz w:val="20"/>
              </w:rPr>
              <w:t>Trung bình</w:t>
            </w:r>
          </w:p>
        </w:tc>
        <w:tc>
          <w:tcPr>
            <w:tcW w:type="dxa" w:w="1560"/>
            <w:vAlign w:val="center"/>
            <w:shd w:fill="F1F5F9"/>
          </w:tcPr>
          <w:p>
            <w:pPr>
              <w:keepNext/>
              <w:spacing w:before="60" w:after="60"/>
              <w:jc w:val="right"/>
            </w:pPr>
            <w:r>
              <w:rPr>
                <w:rFonts w:ascii="Inter" w:hAnsi="Inter"/>
                <w:color w:val="0F172A"/>
                <w:sz w:val="20"/>
              </w:rPr>
              <w:t>645</w:t>
            </w:r>
          </w:p>
        </w:tc>
        <w:tc>
          <w:tcPr>
            <w:tcW w:type="dxa" w:w="1560"/>
            <w:vAlign w:val="center"/>
            <w:shd w:fill="F1F5F9"/>
          </w:tcPr>
          <w:p>
            <w:pPr>
              <w:keepNext/>
              <w:spacing w:before="60" w:after="60"/>
              <w:jc w:val="right"/>
            </w:pPr>
            <w:r>
              <w:rPr>
                <w:rFonts w:ascii="Inter" w:hAnsi="Inter"/>
                <w:color w:val="0F172A"/>
                <w:sz w:val="20"/>
              </w:rPr>
              <w:t>51.7%</w:t>
            </w:r>
          </w:p>
        </w:tc>
      </w:tr>
      <w:tr>
        <w:trPr>
          <w:cantSplit/>
        </w:trPr>
        <w:tc>
          <w:tcPr>
            <w:tcW w:type="dxa" w:w="1560"/>
            <w:vAlign w:val="center"/>
          </w:tcPr>
          <w:p>
            <w:pPr>
              <w:keepNext/>
              <w:spacing w:before="60" w:after="60"/>
              <w:jc w:val="center"/>
            </w:pPr>
            <w:r>
              <w:rPr>
                <w:rFonts w:ascii="Inter" w:hAnsi="Inter"/>
                <w:color w:val="0F172A"/>
                <w:sz w:val="20"/>
              </w:rPr>
              <w:t>MDL_3099</w:t>
            </w:r>
          </w:p>
        </w:tc>
        <w:tc>
          <w:tcPr>
            <w:tcW w:type="dxa" w:w="1560"/>
            <w:vAlign w:val="center"/>
          </w:tcPr>
          <w:p>
            <w:pPr>
              <w:keepNext/>
              <w:spacing w:before="60" w:after="60"/>
              <w:jc w:val="left"/>
            </w:pPr>
            <w:r>
              <w:rPr>
                <w:rFonts w:ascii="Inter" w:hAnsi="Inter"/>
                <w:color w:val="0F172A"/>
                <w:sz w:val="20"/>
              </w:rPr>
              <w:t>Cobalt Strike</w:t>
            </w:r>
          </w:p>
        </w:tc>
        <w:tc>
          <w:tcPr>
            <w:tcW w:type="dxa" w:w="1560"/>
            <w:vAlign w:val="center"/>
          </w:tcPr>
          <w:p>
            <w:pPr>
              <w:keepNext/>
              <w:spacing w:before="60" w:after="60"/>
              <w:jc w:val="left"/>
            </w:pPr>
            <w:r>
              <w:rPr>
                <w:rFonts w:ascii="Inter" w:hAnsi="Inter"/>
                <w:color w:val="0F172A"/>
                <w:sz w:val="20"/>
              </w:rPr>
              <w:t>Penetration Tool (Công cụ xâm nhập từ xa)</w:t>
            </w:r>
          </w:p>
        </w:tc>
        <w:tc>
          <w:tcPr>
            <w:tcW w:type="dxa" w:w="1560"/>
            <w:vAlign w:val="center"/>
          </w:tcPr>
          <w:p>
            <w:pPr>
              <w:keepNext/>
              <w:spacing w:before="60" w:after="60"/>
              <w:jc w:val="center"/>
            </w:pPr>
            <w:r>
              <w:rPr>
                <w:rFonts w:ascii="Inter" w:hAnsi="Inter"/>
                <w:color w:val="0F172A"/>
                <w:sz w:val="20"/>
              </w:rPr>
              <w:t>Cao</w:t>
            </w:r>
          </w:p>
        </w:tc>
        <w:tc>
          <w:tcPr>
            <w:tcW w:type="dxa" w:w="1560"/>
            <w:vAlign w:val="center"/>
          </w:tcPr>
          <w:p>
            <w:pPr>
              <w:keepNext/>
              <w:spacing w:before="60" w:after="60"/>
              <w:jc w:val="right"/>
            </w:pPr>
            <w:r>
              <w:rPr>
                <w:rFonts w:ascii="Inter" w:hAnsi="Inter"/>
                <w:color w:val="0F172A"/>
                <w:sz w:val="20"/>
              </w:rPr>
              <w:t>186</w:t>
            </w:r>
          </w:p>
        </w:tc>
        <w:tc>
          <w:tcPr>
            <w:tcW w:type="dxa" w:w="1560"/>
            <w:vAlign w:val="center"/>
          </w:tcPr>
          <w:p>
            <w:pPr>
              <w:keepNext/>
              <w:spacing w:before="60" w:after="60"/>
              <w:jc w:val="right"/>
            </w:pPr>
            <w:r>
              <w:rPr>
                <w:rFonts w:ascii="Inter" w:hAnsi="Inter"/>
                <w:color w:val="0F172A"/>
                <w:sz w:val="20"/>
              </w:rPr>
              <w:t>14.9%</w:t>
            </w:r>
          </w:p>
        </w:tc>
      </w:tr>
      <w:tr>
        <w:trPr>
          <w:cantSplit/>
        </w:trPr>
        <w:tc>
          <w:tcPr>
            <w:tcW w:type="dxa" w:w="1560"/>
            <w:vAlign w:val="center"/>
            <w:shd w:fill="F1F5F9"/>
          </w:tcPr>
          <w:p>
            <w:pPr>
              <w:keepNext/>
              <w:spacing w:before="60" w:after="60"/>
              <w:jc w:val="center"/>
            </w:pPr>
            <w:r>
              <w:rPr>
                <w:rFonts w:ascii="Inter" w:hAnsi="Inter"/>
                <w:color w:val="0F172A"/>
                <w:sz w:val="20"/>
              </w:rPr>
              <w:t>MDL_9999</w:t>
            </w:r>
          </w:p>
        </w:tc>
        <w:tc>
          <w:tcPr>
            <w:tcW w:type="dxa" w:w="1560"/>
            <w:vAlign w:val="center"/>
            <w:shd w:fill="F1F5F9"/>
          </w:tcPr>
          <w:p>
            <w:pPr>
              <w:keepNext/>
              <w:spacing w:before="60" w:after="60"/>
              <w:jc w:val="left"/>
            </w:pPr>
            <w:r>
              <w:rPr>
                <w:rFonts w:ascii="Inter" w:hAnsi="Inter"/>
                <w:color w:val="0F172A"/>
                <w:sz w:val="20"/>
              </w:rPr>
              <w:t>Khác</w:t>
            </w:r>
          </w:p>
        </w:tc>
        <w:tc>
          <w:tcPr>
            <w:tcW w:type="dxa" w:w="1560"/>
            <w:vAlign w:val="center"/>
            <w:shd w:fill="F1F5F9"/>
          </w:tcPr>
          <w:p>
            <w:pPr>
              <w:keepNext/>
              <w:spacing w:before="60" w:after="60"/>
              <w:jc w:val="left"/>
            </w:pPr>
            <w:r>
              <w:rPr>
                <w:rFonts w:ascii="Inter" w:hAnsi="Inter"/>
                <w:color w:val="0F172A"/>
                <w:sz w:val="20"/>
              </w:rPr>
              <w:t>Các mẫu cảnh báo mức thấp / thăm dò</w:t>
            </w:r>
          </w:p>
        </w:tc>
        <w:tc>
          <w:tcPr>
            <w:tcW w:type="dxa" w:w="1560"/>
            <w:vAlign w:val="center"/>
            <w:shd w:fill="F1F5F9"/>
          </w:tcPr>
          <w:p>
            <w:pPr>
              <w:keepNext/>
              <w:spacing w:before="60" w:after="60"/>
              <w:jc w:val="center"/>
            </w:pPr>
            <w:r>
              <w:rPr>
                <w:rFonts w:ascii="Inter" w:hAnsi="Inter"/>
                <w:color w:val="0F172A"/>
                <w:sz w:val="20"/>
              </w:rPr>
              <w:t>Thấp</w:t>
            </w:r>
          </w:p>
        </w:tc>
        <w:tc>
          <w:tcPr>
            <w:tcW w:type="dxa" w:w="1560"/>
            <w:vAlign w:val="center"/>
            <w:shd w:fill="F1F5F9"/>
          </w:tcPr>
          <w:p>
            <w:pPr>
              <w:keepNext/>
              <w:spacing w:before="60" w:after="60"/>
              <w:jc w:val="right"/>
            </w:pPr>
            <w:r>
              <w:rPr>
                <w:rFonts w:ascii="Inter" w:hAnsi="Inter"/>
                <w:color w:val="0F172A"/>
                <w:sz w:val="20"/>
              </w:rPr>
              <w:t>105</w:t>
            </w:r>
          </w:p>
        </w:tc>
        <w:tc>
          <w:tcPr>
            <w:tcW w:type="dxa" w:w="1560"/>
            <w:vAlign w:val="center"/>
            <w:shd w:fill="F1F5F9"/>
          </w:tcPr>
          <w:p>
            <w:pPr>
              <w:keepNext/>
              <w:spacing w:before="60" w:after="60"/>
              <w:jc w:val="right"/>
            </w:pPr>
            <w:r>
              <w:rPr>
                <w:rFonts w:ascii="Inter" w:hAnsi="Inter"/>
                <w:color w:val="0F172A"/>
                <w:sz w:val="20"/>
              </w:rPr>
              <w:t>8.4%</w:t>
            </w:r>
          </w:p>
        </w:tc>
      </w:tr>
      <w:tr>
        <w:trPr>
          <w:cantSplit/>
        </w:trPr>
        <w:tc>
          <w:tcPr>
            <w:tcW w:type="dxa" w:w="1560"/>
            <w:vAlign w:val="center"/>
          </w:tcPr>
          <w:p>
            <w:pPr>
              <w:spacing w:before="60" w:after="60"/>
              <w:jc w:val="center"/>
            </w:pPr>
            <w:r>
              <w:rPr>
                <w:rFonts w:ascii="Inter" w:hAnsi="Inter"/>
                <w:b/>
                <w:color w:val="0F172A"/>
                <w:sz w:val="20"/>
              </w:rPr>
              <w:t>TỔNG CỘNG</w:t>
            </w:r>
          </w:p>
        </w:tc>
        <w:tc>
          <w:tcPr>
            <w:tcW w:type="dxa" w:w="1560"/>
            <w:vAlign w:val="center"/>
          </w:tcPr>
          <w:p>
            <w:pPr>
              <w:spacing w:before="60" w:after="60"/>
              <w:jc w:val="left"/>
            </w:pPr>
            <w:r>
              <w:rPr>
                <w:rFonts w:ascii="Inter" w:hAnsi="Inter"/>
                <w:b/>
                <w:color w:val="0F172A"/>
                <w:sz w:val="20"/>
              </w:rPr>
              <w:t>4 nhóm</w:t>
            </w:r>
          </w:p>
        </w:tc>
        <w:tc>
          <w:tcPr>
            <w:tcW w:type="dxa" w:w="1560"/>
            <w:vAlign w:val="center"/>
          </w:tcPr>
          <w:p>
            <w:pPr>
              <w:spacing w:before="60" w:after="60"/>
              <w:jc w:val="left"/>
            </w:pPr>
            <w:r>
              <w:rPr>
                <w:rFonts w:ascii="Inter" w:hAnsi="Inter"/>
                <w:b/>
                <w:color w:val="0F172A"/>
                <w:sz w:val="20"/>
              </w:rPr>
              <w:t>Đã đối chiếu 100% nhật ký hệ thống</w:t>
            </w:r>
          </w:p>
        </w:tc>
        <w:tc>
          <w:tcPr>
            <w:tcW w:type="dxa" w:w="1560"/>
            <w:vAlign w:val="center"/>
          </w:tcPr>
          <w:p>
            <w:pPr>
              <w:spacing w:before="60" w:after="60"/>
              <w:jc w:val="center"/>
            </w:pPr>
            <w:r>
              <w:rPr>
                <w:rFonts w:ascii="Inter" w:hAnsi="Inter"/>
                <w:b/>
                <w:color w:val="0F172A"/>
                <w:sz w:val="20"/>
              </w:rPr>
              <w:t>-</w:t>
            </w:r>
          </w:p>
        </w:tc>
        <w:tc>
          <w:tcPr>
            <w:tcW w:type="dxa" w:w="1560"/>
            <w:vAlign w:val="center"/>
          </w:tcPr>
          <w:p>
            <w:pPr>
              <w:spacing w:before="60" w:after="60"/>
              <w:jc w:val="right"/>
            </w:pPr>
            <w:r>
              <w:rPr>
                <w:rFonts w:ascii="Inter" w:hAnsi="Inter"/>
                <w:b/>
                <w:color w:val="0F172A"/>
                <w:sz w:val="20"/>
              </w:rPr>
              <w:t>1,248</w:t>
            </w:r>
          </w:p>
        </w:tc>
        <w:tc>
          <w:tcPr>
            <w:tcW w:type="dxa" w:w="1560"/>
            <w:vAlign w:val="center"/>
          </w:tcPr>
          <w:p>
            <w:pPr>
              <w:spacing w:before="60" w:after="60"/>
              <w:jc w:val="right"/>
            </w:pPr>
            <w:r>
              <w:rPr>
                <w:rFonts w:ascii="Inter" w:hAnsi="Inter"/>
                <w:b/>
                <w:color w:val="0F172A"/>
                <w:sz w:val="20"/>
              </w:rPr>
              <w:t>100.0%</w:t>
            </w:r>
          </w:p>
        </w:tc>
      </w:tr>
    </w:tbl>
    <w:p>
      <w:pPr>
        <w:spacing w:before="0" w:after="80"/>
      </w:pPr>
    </w:p>
    <w:p>
      <w:pPr>
        <w:spacing w:line="276" w:lineRule="auto" w:after="120"/>
      </w:pPr>
      <w:r>
        <w:rPr>
          <w:rFonts w:ascii="Inter" w:hAnsi="Inter"/>
          <w:color w:val="0F172A"/>
          <w:sz w:val="22"/>
        </w:rPr>
        <w:t>Dưới đây là trích xuất 3 bản ghi đầu tiên từ bảng Nhật ký hệ thống sau khi đã nối dữ liệu thành công (chi tiết toàn bộ 12 dòng minh họa nằm trong tệp Excel đính kèm):</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shd w:fill="1E3A8A"/>
          </w:tcPr>
          <w:p>
            <w:pPr>
              <w:keepNext/>
              <w:spacing w:before="60" w:after="60"/>
              <w:jc w:val="center"/>
            </w:pPr>
            <w:r>
              <w:rPr>
                <w:rFonts w:ascii="Inter" w:hAnsi="Inter"/>
                <w:b/>
                <w:color w:val="FFFFFF"/>
                <w:sz w:val="20"/>
              </w:rPr>
              <w:t>Thời gian</w:t>
            </w:r>
          </w:p>
        </w:tc>
        <w:tc>
          <w:tcPr>
            <w:tcW w:type="dxa" w:w="1337"/>
            <w:vAlign w:val="center"/>
            <w:shd w:fill="1E3A8A"/>
          </w:tcPr>
          <w:p>
            <w:pPr>
              <w:keepNext/>
              <w:spacing w:before="60" w:after="60"/>
              <w:jc w:val="center"/>
            </w:pPr>
            <w:r>
              <w:rPr>
                <w:rFonts w:ascii="Inter" w:hAnsi="Inter"/>
                <w:b/>
                <w:color w:val="FFFFFF"/>
                <w:sz w:val="20"/>
              </w:rPr>
              <w:t>Nguồn (IP)</w:t>
            </w:r>
          </w:p>
        </w:tc>
        <w:tc>
          <w:tcPr>
            <w:tcW w:type="dxa" w:w="1337"/>
            <w:vAlign w:val="center"/>
            <w:shd w:fill="1E3A8A"/>
          </w:tcPr>
          <w:p>
            <w:pPr>
              <w:keepNext/>
              <w:spacing w:before="60" w:after="60"/>
              <w:jc w:val="center"/>
            </w:pPr>
            <w:r>
              <w:rPr>
                <w:rFonts w:ascii="Inter" w:hAnsi="Inter"/>
                <w:b/>
                <w:color w:val="FFFFFF"/>
                <w:sz w:val="20"/>
              </w:rPr>
              <w:t>IP đích</w:t>
            </w:r>
          </w:p>
        </w:tc>
        <w:tc>
          <w:tcPr>
            <w:tcW w:type="dxa" w:w="1337"/>
            <w:vAlign w:val="center"/>
            <w:shd w:fill="1E3A8A"/>
          </w:tcPr>
          <w:p>
            <w:pPr>
              <w:keepNext/>
              <w:spacing w:before="60" w:after="60"/>
              <w:jc w:val="center"/>
            </w:pPr>
            <w:r>
              <w:rPr>
                <w:rFonts w:ascii="Inter" w:hAnsi="Inter"/>
                <w:b/>
                <w:color w:val="FFFFFF"/>
                <w:sz w:val="20"/>
              </w:rPr>
              <w:t>Mã ID</w:t>
            </w:r>
          </w:p>
        </w:tc>
        <w:tc>
          <w:tcPr>
            <w:tcW w:type="dxa" w:w="1337"/>
            <w:vAlign w:val="center"/>
            <w:shd w:fill="1E3A8A"/>
          </w:tcPr>
          <w:p>
            <w:pPr>
              <w:keepNext/>
              <w:spacing w:before="60" w:after="60"/>
              <w:jc w:val="center"/>
            </w:pPr>
            <w:r>
              <w:rPr>
                <w:rFonts w:ascii="Inter" w:hAnsi="Inter"/>
                <w:b/>
                <w:color w:val="FFFFFF"/>
                <w:sz w:val="20"/>
              </w:rPr>
              <w:t>Tên mã độc</w:t>
            </w:r>
          </w:p>
        </w:tc>
        <w:tc>
          <w:tcPr>
            <w:tcW w:type="dxa" w:w="1337"/>
            <w:vAlign w:val="center"/>
            <w:shd w:fill="1E3A8A"/>
          </w:tcPr>
          <w:p>
            <w:pPr>
              <w:keepNext/>
              <w:spacing w:before="60" w:after="60"/>
              <w:jc w:val="center"/>
            </w:pPr>
            <w:r>
              <w:rPr>
                <w:rFonts w:ascii="Inter" w:hAnsi="Inter"/>
                <w:b/>
                <w:color w:val="FFFFFF"/>
                <w:sz w:val="20"/>
              </w:rPr>
              <w:t>Mô tả</w:t>
            </w:r>
          </w:p>
        </w:tc>
        <w:tc>
          <w:tcPr>
            <w:tcW w:type="dxa" w:w="1337"/>
            <w:vAlign w:val="center"/>
            <w:shd w:fill="1E3A8A"/>
          </w:tcPr>
          <w:p>
            <w:pPr>
              <w:keepNext/>
              <w:spacing w:before="60" w:after="60"/>
              <w:jc w:val="center"/>
            </w:pPr>
            <w:r>
              <w:rPr>
                <w:rFonts w:ascii="Inter" w:hAnsi="Inter"/>
                <w:b/>
                <w:color w:val="FFFFFF"/>
                <w:sz w:val="20"/>
              </w:rPr>
              <w:t>Mức độ</w:t>
            </w:r>
          </w:p>
        </w:tc>
      </w:tr>
      <w:tr>
        <w:trPr>
          <w:cantSplit/>
        </w:trPr>
        <w:tc>
          <w:tcPr>
            <w:tcW w:type="dxa" w:w="1337"/>
            <w:vAlign w:val="center"/>
          </w:tcPr>
          <w:p>
            <w:pPr>
              <w:keepNext/>
              <w:spacing w:before="60" w:after="60"/>
              <w:jc w:val="center"/>
            </w:pPr>
            <w:r>
              <w:rPr>
                <w:rFonts w:ascii="Inter" w:hAnsi="Inter"/>
                <w:color w:val="0F172A"/>
                <w:sz w:val="20"/>
              </w:rPr>
              <w:t>2024-05-20 08:15:23</w:t>
            </w:r>
          </w:p>
        </w:tc>
        <w:tc>
          <w:tcPr>
            <w:tcW w:type="dxa" w:w="1337"/>
            <w:vAlign w:val="center"/>
          </w:tcPr>
          <w:p>
            <w:pPr>
              <w:keepNext/>
              <w:spacing w:before="60" w:after="60"/>
              <w:jc w:val="center"/>
            </w:pPr>
            <w:r>
              <w:rPr>
                <w:rFonts w:ascii="Inter" w:hAnsi="Inter"/>
                <w:color w:val="0F172A"/>
                <w:sz w:val="20"/>
              </w:rPr>
              <w:t>192.168.1.10</w:t>
            </w:r>
          </w:p>
        </w:tc>
        <w:tc>
          <w:tcPr>
            <w:tcW w:type="dxa" w:w="1337"/>
            <w:vAlign w:val="center"/>
          </w:tcPr>
          <w:p>
            <w:pPr>
              <w:keepNext/>
              <w:spacing w:before="60" w:after="60"/>
              <w:jc w:val="center"/>
            </w:pPr>
            <w:r>
              <w:rPr>
                <w:rFonts w:ascii="Inter" w:hAnsi="Inter"/>
                <w:color w:val="0F172A"/>
                <w:sz w:val="20"/>
              </w:rPr>
              <w:t>10.0.0.5</w:t>
            </w:r>
          </w:p>
        </w:tc>
        <w:tc>
          <w:tcPr>
            <w:tcW w:type="dxa" w:w="1337"/>
            <w:vAlign w:val="center"/>
          </w:tcPr>
          <w:p>
            <w:pPr>
              <w:keepNext/>
              <w:spacing w:before="60" w:after="60"/>
              <w:jc w:val="center"/>
            </w:pPr>
            <w:r>
              <w:rPr>
                <w:rFonts w:ascii="Inter" w:hAnsi="Inter"/>
                <w:color w:val="0F172A"/>
                <w:sz w:val="20"/>
              </w:rPr>
              <w:t>MDL_1023</w:t>
            </w:r>
          </w:p>
        </w:tc>
        <w:tc>
          <w:tcPr>
            <w:tcW w:type="dxa" w:w="1337"/>
            <w:vAlign w:val="center"/>
          </w:tcPr>
          <w:p>
            <w:pPr>
              <w:keepNext/>
              <w:spacing w:before="60" w:after="60"/>
              <w:jc w:val="left"/>
            </w:pPr>
            <w:r>
              <w:rPr>
                <w:rFonts w:ascii="Inter" w:hAnsi="Inter"/>
                <w:color w:val="0F172A"/>
                <w:sz w:val="20"/>
              </w:rPr>
              <w:t>Emotet</w:t>
            </w:r>
          </w:p>
        </w:tc>
        <w:tc>
          <w:tcPr>
            <w:tcW w:type="dxa" w:w="1337"/>
            <w:vAlign w:val="center"/>
          </w:tcPr>
          <w:p>
            <w:pPr>
              <w:keepNext/>
              <w:spacing w:before="60" w:after="60"/>
              <w:jc w:val="left"/>
            </w:pPr>
            <w:r>
              <w:rPr>
                <w:rFonts w:ascii="Inter" w:hAnsi="Inter"/>
                <w:color w:val="0F172A"/>
                <w:sz w:val="20"/>
              </w:rPr>
              <w:t>Banking Trojan</w:t>
            </w:r>
          </w:p>
        </w:tc>
        <w:tc>
          <w:tcPr>
            <w:tcW w:type="dxa" w:w="1337"/>
            <w:vAlign w:val="center"/>
          </w:tcPr>
          <w:p>
            <w:pPr>
              <w:keepNext/>
              <w:spacing w:before="60" w:after="60"/>
              <w:jc w:val="center"/>
            </w:pPr>
            <w:r>
              <w:rPr>
                <w:rFonts w:ascii="Inter" w:hAnsi="Inter"/>
                <w:color w:val="0F172A"/>
                <w:sz w:val="20"/>
              </w:rPr>
              <w:t>Cao</w:t>
            </w:r>
          </w:p>
        </w:tc>
      </w:tr>
      <w:tr>
        <w:trPr>
          <w:cantSplit/>
        </w:trPr>
        <w:tc>
          <w:tcPr>
            <w:tcW w:type="dxa" w:w="1337"/>
            <w:vAlign w:val="center"/>
            <w:shd w:fill="F1F5F9"/>
          </w:tcPr>
          <w:p>
            <w:pPr>
              <w:keepNext/>
              <w:spacing w:before="60" w:after="60"/>
              <w:jc w:val="center"/>
            </w:pPr>
            <w:r>
              <w:rPr>
                <w:rFonts w:ascii="Inter" w:hAnsi="Inter"/>
                <w:color w:val="0F172A"/>
                <w:sz w:val="20"/>
              </w:rPr>
              <w:t>2024-05-20 08:17:11</w:t>
            </w:r>
          </w:p>
        </w:tc>
        <w:tc>
          <w:tcPr>
            <w:tcW w:type="dxa" w:w="1337"/>
            <w:vAlign w:val="center"/>
            <w:shd w:fill="F1F5F9"/>
          </w:tcPr>
          <w:p>
            <w:pPr>
              <w:keepNext/>
              <w:spacing w:before="60" w:after="60"/>
              <w:jc w:val="center"/>
            </w:pPr>
            <w:r>
              <w:rPr>
                <w:rFonts w:ascii="Inter" w:hAnsi="Inter"/>
                <w:color w:val="0F172A"/>
                <w:sz w:val="20"/>
              </w:rPr>
              <w:t>192.168.1.23</w:t>
            </w:r>
          </w:p>
        </w:tc>
        <w:tc>
          <w:tcPr>
            <w:tcW w:type="dxa" w:w="1337"/>
            <w:vAlign w:val="center"/>
            <w:shd w:fill="F1F5F9"/>
          </w:tcPr>
          <w:p>
            <w:pPr>
              <w:keepNext/>
              <w:spacing w:before="60" w:after="60"/>
              <w:jc w:val="center"/>
            </w:pPr>
            <w:r>
              <w:rPr>
                <w:rFonts w:ascii="Inter" w:hAnsi="Inter"/>
                <w:color w:val="0F172A"/>
                <w:sz w:val="20"/>
              </w:rPr>
              <w:t>10.0.0.8</w:t>
            </w:r>
          </w:p>
        </w:tc>
        <w:tc>
          <w:tcPr>
            <w:tcW w:type="dxa" w:w="1337"/>
            <w:vAlign w:val="center"/>
            <w:shd w:fill="F1F5F9"/>
          </w:tcPr>
          <w:p>
            <w:pPr>
              <w:keepNext/>
              <w:spacing w:before="60" w:after="60"/>
              <w:jc w:val="center"/>
            </w:pPr>
            <w:r>
              <w:rPr>
                <w:rFonts w:ascii="Inter" w:hAnsi="Inter"/>
                <w:color w:val="0F172A"/>
                <w:sz w:val="20"/>
              </w:rPr>
              <w:t>MDL_2045</w:t>
            </w:r>
          </w:p>
        </w:tc>
        <w:tc>
          <w:tcPr>
            <w:tcW w:type="dxa" w:w="1337"/>
            <w:vAlign w:val="center"/>
            <w:shd w:fill="F1F5F9"/>
          </w:tcPr>
          <w:p>
            <w:pPr>
              <w:keepNext/>
              <w:spacing w:before="60" w:after="60"/>
              <w:jc w:val="left"/>
            </w:pPr>
            <w:r>
              <w:rPr>
                <w:rFonts w:ascii="Inter" w:hAnsi="Inter"/>
                <w:color w:val="0F172A"/>
                <w:sz w:val="20"/>
              </w:rPr>
              <w:t>Lokibot</w:t>
            </w:r>
          </w:p>
        </w:tc>
        <w:tc>
          <w:tcPr>
            <w:tcW w:type="dxa" w:w="1337"/>
            <w:vAlign w:val="center"/>
            <w:shd w:fill="F1F5F9"/>
          </w:tcPr>
          <w:p>
            <w:pPr>
              <w:keepNext/>
              <w:spacing w:before="60" w:after="60"/>
              <w:jc w:val="left"/>
            </w:pPr>
            <w:r>
              <w:rPr>
                <w:rFonts w:ascii="Inter" w:hAnsi="Inter"/>
                <w:color w:val="0F172A"/>
                <w:sz w:val="20"/>
              </w:rPr>
              <w:t>Info Stealer</w:t>
            </w:r>
          </w:p>
        </w:tc>
        <w:tc>
          <w:tcPr>
            <w:tcW w:type="dxa" w:w="1337"/>
            <w:vAlign w:val="center"/>
            <w:shd w:fill="F1F5F9"/>
          </w:tcPr>
          <w:p>
            <w:pPr>
              <w:keepNext/>
              <w:spacing w:before="60" w:after="60"/>
              <w:jc w:val="center"/>
            </w:pPr>
            <w:r>
              <w:rPr>
                <w:rFonts w:ascii="Inter" w:hAnsi="Inter"/>
                <w:color w:val="0F172A"/>
                <w:sz w:val="20"/>
              </w:rPr>
              <w:t>Trung bình</w:t>
            </w:r>
          </w:p>
        </w:tc>
      </w:tr>
      <w:tr>
        <w:trPr>
          <w:cantSplit/>
        </w:trPr>
        <w:tc>
          <w:tcPr>
            <w:tcW w:type="dxa" w:w="1337"/>
            <w:vAlign w:val="center"/>
          </w:tcPr>
          <w:p>
            <w:pPr>
              <w:spacing w:before="60" w:after="60"/>
              <w:jc w:val="center"/>
            </w:pPr>
            <w:r>
              <w:rPr>
                <w:rFonts w:ascii="Inter" w:hAnsi="Inter"/>
                <w:color w:val="0F172A"/>
                <w:sz w:val="20"/>
              </w:rPr>
              <w:t>2024-05-20 08:21:02</w:t>
            </w:r>
          </w:p>
        </w:tc>
        <w:tc>
          <w:tcPr>
            <w:tcW w:type="dxa" w:w="1337"/>
            <w:vAlign w:val="center"/>
          </w:tcPr>
          <w:p>
            <w:pPr>
              <w:spacing w:before="60" w:after="60"/>
              <w:jc w:val="center"/>
            </w:pPr>
            <w:r>
              <w:rPr>
                <w:rFonts w:ascii="Inter" w:hAnsi="Inter"/>
                <w:color w:val="0F172A"/>
                <w:sz w:val="20"/>
              </w:rPr>
              <w:t>192.168.1.10</w:t>
            </w:r>
          </w:p>
        </w:tc>
        <w:tc>
          <w:tcPr>
            <w:tcW w:type="dxa" w:w="1337"/>
            <w:vAlign w:val="center"/>
          </w:tcPr>
          <w:p>
            <w:pPr>
              <w:spacing w:before="60" w:after="60"/>
              <w:jc w:val="center"/>
            </w:pPr>
            <w:r>
              <w:rPr>
                <w:rFonts w:ascii="Inter" w:hAnsi="Inter"/>
                <w:color w:val="0F172A"/>
                <w:sz w:val="20"/>
              </w:rPr>
              <w:t>10.0.0.12</w:t>
            </w:r>
          </w:p>
        </w:tc>
        <w:tc>
          <w:tcPr>
            <w:tcW w:type="dxa" w:w="1337"/>
            <w:vAlign w:val="center"/>
          </w:tcPr>
          <w:p>
            <w:pPr>
              <w:spacing w:before="60" w:after="60"/>
              <w:jc w:val="center"/>
            </w:pPr>
            <w:r>
              <w:rPr>
                <w:rFonts w:ascii="Inter" w:hAnsi="Inter"/>
                <w:color w:val="0F172A"/>
                <w:sz w:val="20"/>
              </w:rPr>
              <w:t>MDL_3099</w:t>
            </w:r>
          </w:p>
        </w:tc>
        <w:tc>
          <w:tcPr>
            <w:tcW w:type="dxa" w:w="1337"/>
            <w:vAlign w:val="center"/>
          </w:tcPr>
          <w:p>
            <w:pPr>
              <w:spacing w:before="60" w:after="60"/>
              <w:jc w:val="left"/>
            </w:pPr>
            <w:r>
              <w:rPr>
                <w:rFonts w:ascii="Inter" w:hAnsi="Inter"/>
                <w:color w:val="0F172A"/>
                <w:sz w:val="20"/>
              </w:rPr>
              <w:t>Cobalt Strike</w:t>
            </w:r>
          </w:p>
        </w:tc>
        <w:tc>
          <w:tcPr>
            <w:tcW w:type="dxa" w:w="1337"/>
            <w:vAlign w:val="center"/>
          </w:tcPr>
          <w:p>
            <w:pPr>
              <w:spacing w:before="60" w:after="60"/>
              <w:jc w:val="left"/>
            </w:pPr>
            <w:r>
              <w:rPr>
                <w:rFonts w:ascii="Inter" w:hAnsi="Inter"/>
                <w:color w:val="0F172A"/>
                <w:sz w:val="20"/>
              </w:rPr>
              <w:t>Penetration Tool</w:t>
            </w:r>
          </w:p>
        </w:tc>
        <w:tc>
          <w:tcPr>
            <w:tcW w:type="dxa" w:w="1337"/>
            <w:vAlign w:val="center"/>
          </w:tcPr>
          <w:p>
            <w:pPr>
              <w:spacing w:before="60" w:after="60"/>
              <w:jc w:val="center"/>
            </w:pPr>
            <w:r>
              <w:rPr>
                <w:rFonts w:ascii="Inter" w:hAnsi="Inter"/>
                <w:color w:val="0F172A"/>
                <w:sz w:val="20"/>
              </w:rPr>
              <w:t>Cao</w:t>
            </w:r>
          </w:p>
        </w:tc>
      </w:tr>
    </w:tbl>
    <w:p>
      <w:pPr>
        <w:spacing w:before="0" w:after="80"/>
      </w:pPr>
    </w:p>
    <w:p>
      <w:pPr>
        <w:spacing w:line="276" w:lineRule="auto" w:after="120"/>
      </w:pPr>
      <w:r>
        <w:rPr>
          <w:rFonts w:ascii="Inter" w:hAnsi="Inter"/>
          <w:color w:val="0F172A"/>
          <w:sz w:val="22"/>
        </w:rPr>
        <w:t>Qua bảng kết quả trên, máy trạm có địa chỉ IP nguồn 192.168.1.10 là điểm nóng nguy hiểm nhất khi phát sinh liên tiếp hai cảnh báo mức độ Cao liên quan đến Emotet (lúc 08:15:23, kết nối tới 10.0.0.5) và Cobalt Strike (lúc 08:21:02, kết nối tới 10.0.0.12). Trong khi đó, mã độc Lokibot (MDL_2045) chiếm số lượng lớn nhất (645 cảnh báo, tương đương 51.68% hay làm tròn 51.7%), phát tán chủ yếu từ IP 192.168.1.23 tới máy chủ nội bộ 10.0.0.8.</w:t>
      </w:r>
    </w:p>
    <w:p>
      <w:pPr>
        <w:pStyle w:val="Heading2"/>
      </w:pPr>
      <w:r>
        <w:t>2.3. Chiến lược phòng thủ 3 tầng (Protect - Detect - Respond) và Khuyến nghị</w:t>
      </w:r>
    </w:p>
    <w:p>
      <w:pPr>
        <w:spacing w:line="276" w:lineRule="auto" w:after="120"/>
      </w:pPr>
      <w:r>
        <w:rPr>
          <w:rFonts w:ascii="Inter" w:hAnsi="Inter"/>
          <w:color w:val="0F172A"/>
          <w:sz w:val="22"/>
        </w:rPr>
        <w:t>Để xử lý triệt để các sự cố phát hiện trong báo cáo và ngăn ngừa nguy cơ tái nhiễm, NetGuard đề xuất mô hình Chiến lược phòng thủ 3 tầng phân cấp rõ ràng (được trình bày trực quan trên Slide thuyết trình PowerPoint kèm theo):</w:t>
      </w:r>
    </w:p>
    <w:p>
      <w:pPr>
        <w:pStyle w:val="ListBullet"/>
        <w:spacing w:line="276" w:lineRule="auto" w:before="20" w:after="80"/>
      </w:pPr>
      <w:r>
        <w:rPr>
          <w:rFonts w:ascii="Inter" w:hAnsi="Inter"/>
          <w:b/>
          <w:color w:val="0F172A"/>
          <w:sz w:val="22"/>
        </w:rPr>
        <w:t xml:space="preserve">Tầng 1 - Phòng ngừa (PROTECT - Ngăn chặn từ vòng ngoài): </w:t>
      </w:r>
      <w:r>
        <w:rPr>
          <w:rFonts w:ascii="Inter" w:hAnsi="Inter"/>
          <w:color w:val="0F172A"/>
          <w:sz w:val="22"/>
        </w:rPr>
        <w:t>Thiết lập quy tắc tường lửa chặn các kết nối bất thường ra ngoài; bật bộ lọc thư điện tử đính kèm tệp thực thi lạ (nguồn lây nhiễm chính của Emotet và Lokibot); cập nhật bản vá hệ điều hành định kỳ và phân quyền người dùng tối thiểu trên các máy trạm.</w:t>
      </w:r>
    </w:p>
    <w:p>
      <w:pPr>
        <w:pStyle w:val="ListBullet"/>
        <w:spacing w:line="276" w:lineRule="auto" w:before="20" w:after="80"/>
      </w:pPr>
      <w:r>
        <w:rPr>
          <w:rFonts w:ascii="Inter" w:hAnsi="Inter"/>
          <w:b/>
          <w:color w:val="0F172A"/>
          <w:sz w:val="22"/>
        </w:rPr>
        <w:t xml:space="preserve">Tầng 2 - Phát hiện (DETECT - Giám sát và chuẩn hóa cảnh báo): </w:t>
      </w:r>
      <w:r>
        <w:rPr>
          <w:rFonts w:ascii="Inter" w:hAnsi="Inter"/>
          <w:color w:val="0F172A"/>
          <w:sz w:val="22"/>
        </w:rPr>
        <w:t>Duy trì thu thập Nhật ký hệ thống (System Log) theo thời gian thực; sử dụng quy trình chuẩn hóa dữ liệu tự động (TRIM + VLOOKUP) kết hợp bộ lọc AutoFilter để phát hiện sớm các địa chỉ IP có tần suất cảnh báo mức Cao bất thường trong khung giờ cao điểm (như 08:00 - 12:00 và 18:00 - 20:00).</w:t>
      </w:r>
    </w:p>
    <w:p>
      <w:pPr>
        <w:pStyle w:val="ListBullet"/>
        <w:spacing w:line="276" w:lineRule="auto" w:before="20" w:after="80"/>
      </w:pPr>
      <w:r>
        <w:rPr>
          <w:rFonts w:ascii="Inter" w:hAnsi="Inter"/>
          <w:b/>
          <w:color w:val="0F172A"/>
          <w:sz w:val="22"/>
        </w:rPr>
        <w:t xml:space="preserve">Tầng 3 - Phản ứng và Khắc phục (RESPOND - Cô lập và phục hồi): </w:t>
      </w:r>
      <w:r>
        <w:rPr>
          <w:rFonts w:ascii="Inter" w:hAnsi="Inter"/>
          <w:color w:val="0F172A"/>
          <w:sz w:val="22"/>
        </w:rPr>
        <w:t>Ngay lập tức ngắt kết nối mạng (cô lập) máy trạm 192.168.1.10 và 192.168.1.23 để quét sạch mã độc Emotet, Cobalt Strike và Lokibot; buộc đổi toàn bộ mật khẩu tài khoản từng đăng nhập trên các máy này; kiểm tra toàn diện các máy đích 10.0.0.5, 10.0.0.8 và 10.0.0.12 để đảm bảo dữ liệu khách hàng được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Inter" w:hAnsi="Inter"/>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Inter" w:hAnsi="Inter"/>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Inter" w:hAnsi="Inter"/>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