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D5C"/>
          <w:sz w:val="56"/>
          <w:szCs w:val="56"/>
        </w:rPr>
        <w:t xml:space="preserve">GLAUBER</w:t>
      </w:r>
    </w:p>
    <w:p>
      <w:pPr>
        <w:spacing w:after="40"/>
        <w:jc w:val="center"/>
      </w:pPr>
      <w:r>
        <w:rPr>
          <w:color w:val="2E5B8A"/>
          <w:sz w:val="32"/>
          <w:szCs w:val="32"/>
        </w:rPr>
        <w:t xml:space="preserve">Unificação do Modelo de Permissões</w:t>
      </w:r>
    </w:p>
    <w:p>
      <w:pPr>
        <w:spacing w:after="240"/>
        <w:jc w:val="center"/>
      </w:pPr>
      <w:r>
        <w:rPr>
          <w:i/>
          <w:iCs/>
          <w:color w:val="7A7A7A"/>
          <w:sz w:val="22"/>
          <w:szCs w:val="22"/>
        </w:rPr>
        <w:t xml:space="preserve">Diagnóstico de conflitos · Proposta com padrão Composite · Modelo de preenchimento</w:t>
      </w:r>
    </w:p>
    <w:p>
      <w:pPr>
        <w:jc w:val="center"/>
      </w:pPr>
      <w:r>
        <w:rPr>
          <w:color w:val="7A7A7A"/>
          <w:sz w:val="20"/>
          <w:szCs w:val="20"/>
        </w:rPr>
        <w:t xml:space="preserve">Consultoria de implementação — Pré-incubação Porto Digital</w:t>
      </w:r>
    </w:p>
    <w:p>
      <w:pPr>
        <w:spacing w:after="600"/>
        <w:jc w:val="center"/>
      </w:pPr>
      <w:r>
        <w:rPr>
          <w:color w:val="7A7A7A"/>
          <w:sz w:val="20"/>
          <w:szCs w:val="20"/>
        </w:rPr>
        <w:t xml:space="preserve">16/06/2026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Hoje o Glauber tem </w:t>
      </w:r>
      <w:r>
        <w:rPr>
          <w:b/>
          <w:bCs/>
        </w:rPr>
        <w:t xml:space="preserve">dois modelos de permissão coexistindo sem regra de precedência</w:t>
      </w:r>
      <w:r>
        <w:t xml:space="preserve">: o RBAC por papel no projeto (owner/admin/producao/departamento/leitor) e um controle por departamento da função (mapa departamento → seções editáveis). Cada página do app escolhe um dos dois, de forma inconsistente, e — o ponto mais grave — </w:t>
      </w:r>
      <w:r>
        <w:rPr>
          <w:b/>
          <w:bCs/>
          <w:color w:val="B33A3A"/>
        </w:rPr>
        <w:t xml:space="preserve">nenhum dos dois é aplicado no banco de dados (RLS)</w:t>
      </w:r>
      <w:r>
        <w:t xml:space="preserve">.</w:t>
      </w:r>
    </w:p>
    <w:p>
      <w:pPr>
        <w:spacing w:after="120"/>
      </w:pPr>
      <w:r>
        <w:t xml:space="preserve">Na prática, o controle de acesso visível na tela é </w:t>
      </w:r>
      <w:r>
        <w:rPr>
          <w:b/>
          <w:bCs/>
        </w:rPr>
        <w:t xml:space="preserve">cosmético</w:t>
      </w:r>
      <w:r>
        <w:t xml:space="preserve">: qualquer membro autenticado da organização pode ler, editar ou apagar dados de qualquer projeto e qualquer seção chamando a API do Supabase diretamente. É isso que quebra o protocolo de segurança.</w:t>
      </w:r>
    </w:p>
    <w:p>
      <w:pPr>
        <w:spacing w:after="120"/>
      </w:pPr>
      <w:r>
        <w:t xml:space="preserve">A proposta é substituir os dois modelos por </w:t>
      </w:r>
      <w:r>
        <w:rPr>
          <w:b/>
          <w:bCs/>
        </w:rPr>
        <w:t xml:space="preserve">um único motor de decisão (padrão Composite)</w:t>
      </w:r>
      <w:r>
        <w:t xml:space="preserve">: uma função pode(projeto, recurso, ação) que compõe três fontes de concessão — papel, departamento e exceção individual — com precedência determinística </w:t>
      </w:r>
      <w:r>
        <w:rPr>
          <w:b/>
          <w:bCs/>
        </w:rPr>
        <w:t xml:space="preserve">deny-override</w:t>
      </w:r>
      <w:r>
        <w:t xml:space="preserve">. A mesma função roda no front e no RLS, tornando impossível a divergência. As permissões saem de uma planilha (o modelo de preenchimento anexo), absorvida pelo sistema.</w:t>
      </w:r>
    </w:p>
    <w:p>
      <w:pPr>
        <w:pStyle w:val="Heading1"/>
      </w:pPr>
      <w:r>
        <w:t xml:space="preserve">2. Como o sistema decide hoje</w:t>
      </w:r>
    </w:p>
    <w:p>
      <w:pPr>
        <w:pStyle w:val="Heading2"/>
      </w:pPr>
      <w:r>
        <w:t xml:space="preserve">2.1. Modelo A — RBAC por papel</w:t>
      </w:r>
    </w:p>
    <w:p>
      <w:pPr>
        <w:spacing w:after="120"/>
      </w:pPr>
      <w:r>
        <w:t xml:space="preserve">Hook </w:t>
      </w:r>
      <w:r>
        <w:rPr>
          <w:rFonts w:ascii="Courier New" w:cs="Courier New" w:eastAsia="Courier New" w:hAnsi="Courier New"/>
        </w:rPr>
        <w:t xml:space="preserve">useProjectRole</w:t>
      </w:r>
      <w:r>
        <w:t xml:space="preserve"> → RPC </w:t>
      </w:r>
      <w:r>
        <w:rPr>
          <w:rFonts w:ascii="Courier New" w:cs="Courier New" w:eastAsia="Courier New" w:hAnsi="Courier New"/>
        </w:rPr>
        <w:t xml:space="preserve">papel_no_projeto</w:t>
      </w:r>
      <w:r>
        <w:t xml:space="preserve">. Lê projeto_pessoas.papel_projeto e define canEdit = papel ≤ producao. Usado em: </w:t>
      </w:r>
      <w:r>
        <w:rPr>
          <w:b/>
          <w:bCs/>
        </w:rPr>
        <w:t xml:space="preserve">Finance, Team, Settings, Locations</w:t>
      </w:r>
      <w:r>
        <w:t xml:space="preserve">.</w:t>
      </w:r>
    </w:p>
    <w:p>
      <w:pPr>
        <w:pStyle w:val="Heading2"/>
      </w:pPr>
      <w:r>
        <w:t xml:space="preserve">2.2. Modelo B — Acesso por departamento</w:t>
      </w:r>
    </w:p>
    <w:p>
      <w:pPr>
        <w:spacing w:after="120"/>
      </w:pPr>
      <w:r>
        <w:t xml:space="preserve">Hook </w:t>
      </w:r>
      <w:r>
        <w:rPr>
          <w:rFonts w:ascii="Courier New" w:cs="Courier New" w:eastAsia="Courier New" w:hAnsi="Courier New"/>
        </w:rPr>
        <w:t xml:space="preserve">useProjectDeptAccess</w:t>
      </w:r>
      <w:r>
        <w:t xml:space="preserve"> → mapa DEPT_EDIT_MAP (departamento da função → lista de seções editáveis), com owner/admin/producao como super-usuários. Usado em: </w:t>
      </w:r>
      <w:r>
        <w:rPr>
          <w:b/>
          <w:bCs/>
        </w:rPr>
        <w:t xml:space="preserve">Agenda, CallSheets, FigurinoArte, MapaTransporte</w:t>
      </w:r>
      <w:r>
        <w:t xml:space="preserve">.</w:t>
      </w:r>
    </w:p>
    <w:p>
      <w:pPr>
        <w:pStyle w:val="Heading2"/>
      </w:pPr>
      <w:r>
        <w:t xml:space="preserve">2.3. A camada que realmente importa — RLS</w:t>
      </w:r>
    </w:p>
    <w:p>
      <w:pPr>
        <w:spacing w:after="120"/>
      </w:pPr>
      <w:r>
        <w:t xml:space="preserve">Todas as policies de escrita (insert/update/delete) das tabelas usam apenas </w:t>
      </w:r>
      <w:r>
        <w:rPr>
          <w:rFonts w:ascii="Courier New" w:cs="Courier New" w:eastAsia="Courier New" w:hAnsi="Courier New"/>
        </w:rPr>
        <w:t xml:space="preserve">org_id in (user_orgs())</w:t>
      </w:r>
      <w:r>
        <w:t xml:space="preserve"> ou </w:t>
      </w:r>
      <w:r>
        <w:rPr>
          <w:rFonts w:ascii="Courier New" w:cs="Courier New" w:eastAsia="Courier New" w:hAnsi="Courier New"/>
        </w:rPr>
        <w:t xml:space="preserve">projeto_id in (select id from projetos)</w:t>
      </w:r>
      <w:r>
        <w:t xml:space="preserve">. As funções </w:t>
      </w:r>
      <w:r>
        <w:rPr>
          <w:rFonts w:ascii="Courier New" w:cs="Courier New" w:eastAsia="Courier New" w:hAnsi="Courier New"/>
        </w:rPr>
        <w:t xml:space="preserve">papel_no_projeto</w:t>
      </w:r>
      <w:r>
        <w:t xml:space="preserve"> e </w:t>
      </w:r>
      <w:r>
        <w:rPr>
          <w:rFonts w:ascii="Courier New" w:cs="Courier New" w:eastAsia="Courier New" w:hAnsi="Courier New"/>
        </w:rPr>
        <w:t xml:space="preserve">tem_perm_projeto</w:t>
      </w:r>
      <w:r>
        <w:t xml:space="preserve"> existem desde a migração 0016, mas </w:t>
      </w:r>
      <w:r>
        <w:rPr>
          <w:b/>
          <w:bCs/>
          <w:color w:val="B33A3A"/>
        </w:rPr>
        <w:t xml:space="preserve">nunca foram usadas em nenhuma policy</w:t>
      </w:r>
      <w:r>
        <w:t xml:space="preserve">. O banco autoriza qualquer membro da organização.</w:t>
      </w:r>
    </w:p>
    <w:p>
      <w:pPr>
        <w:pStyle w:val="Heading1"/>
      </w:pPr>
      <w:r>
        <w:t xml:space="preserve">3. Conflitos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920"/>
        <w:gridCol w:w="39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Conflito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Dois eixos (papel e departamento) decidem a MESMA pergunta — 'pode editar?' — sem precedência declarada entre eles.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Comportamento ambíguo e imprevisível por tela.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Aplicação inconsistente: um chefe de Arte (papel 'departamento') NÃO edita Locations (bloqueado pelo RBAC) mas EDITA Figurino &amp; Arte (liberado pelo depto). Mesma pessoa, dois critérios.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Permissões contraditórias para o mesmo usuário.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matriz Função × Funcionalidade (49 itens) não tem implementação real — o código só faz a aproximação grosseira depto → seção. Granularidade perdida (ex.: 'editar OD' ≠ 'publicar OD').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matriz preenchida diverge do que o sistema faz.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RLS não aplica papel nem departamento. Qualquer membro da org escreve em qualquer projeto/seção via API. Gating do front é cosmético.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3A3A"/>
                <w:sz w:val="18"/>
                <w:szCs w:val="18"/>
              </w:rPr>
              <w:t xml:space="preserve">FALHA DE SEGURANÇA: 'leitor' consegue apagar despesas.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'owner' vem de projetos.criado_por; mas Settings grava papel_projeto. Duas fontes de verdade para o mesmo conceito.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Inconsistência de quem é dono.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Decisão de permissão espalhada em 3 hooks com cache/queries diferentes (inclusive match de email no cliente).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Custo, lentidão e difícil manutenção.</w:t>
            </w:r>
          </w:p>
        </w:tc>
      </w:tr>
    </w:tbl>
    <w:p>
      <w:pPr>
        <w:spacing w:after="120" w:before="120"/>
      </w:pPr>
      <w:r>
        <w:t xml:space="preserve">Os conflitos C1–C3 e C6 são de </w:t>
      </w:r>
      <w:r>
        <w:rPr>
          <w:b/>
          <w:bCs/>
        </w:rPr>
        <w:t xml:space="preserve">coerência</w:t>
      </w:r>
      <w:r>
        <w:t xml:space="preserve">; o C4 é de </w:t>
      </w:r>
      <w:r>
        <w:rPr>
          <w:b/>
          <w:bCs/>
          <w:color w:val="B33A3A"/>
        </w:rPr>
        <w:t xml:space="preserve">segurança</w:t>
      </w:r>
      <w:r>
        <w:t xml:space="preserve"> e é o que deve ser corrigido primeiro.</w:t>
      </w:r>
    </w:p>
    <w:p>
      <w:pPr>
        <w:pStyle w:val="Heading1"/>
      </w:pPr>
      <w:r>
        <w:t xml:space="preserve">4. Proposta — padrão Composite</w:t>
      </w:r>
    </w:p>
    <w:p>
      <w:pPr>
        <w:spacing w:after="120"/>
      </w:pPr>
      <w:r>
        <w:t xml:space="preserve">O padrão </w:t>
      </w:r>
      <w:r>
        <w:rPr>
          <w:b/>
          <w:bCs/>
        </w:rPr>
        <w:t xml:space="preserve">Composite</w:t>
      </w:r>
      <w:r>
        <w:t xml:space="preserve"> trata cada fonte de permissão como uma 'folha' que responde 'concede / não concede / nega', e um 'resolver' agrega todas com uma regra única. As folhas: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Folha 1 — Papel (RBAC): </w:t>
      </w:r>
      <w:r>
        <w:t xml:space="preserve">concede um conjunto base por papel. Regra: papel dá leitura ampla; escrita fica restrita.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Folha 2 — Departamento: </w:t>
      </w:r>
      <w:r>
        <w:t xml:space="preserve">adiciona escrita no domínio da função (Arte edita Figurino &amp; Arte, Logística edita Transporte,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Folha 3 — Exceção individual: </w:t>
      </w:r>
      <w:r>
        <w:t xml:space="preserve">ALLOW ou DENY por pessoa, para casos pontuais.</w:t>
      </w:r>
    </w:p>
    <w:p>
      <w:pPr>
        <w:pStyle w:val="Heading2"/>
      </w:pPr>
      <w:r>
        <w:t xml:space="preserve">4.1. Regra de precedência (deny-override)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DENY individual</w:t>
      </w:r>
      <w:r>
        <w:t xml:space="preserve"> → nega sempre (vence tudo).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ALLOW individual</w:t>
      </w:r>
      <w:r>
        <w:t xml:space="preserve"> → permite (salvo DENY).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ALLOW por papel OU por departamento</w:t>
      </w:r>
      <w:r>
        <w:t xml:space="preserve"> → se qualquer um concede, permite.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Padrão = NEGADO</w:t>
      </w:r>
      <w:r>
        <w:t xml:space="preserve"> (deny-by-default).</w:t>
      </w:r>
    </w:p>
    <w:p>
      <w:pPr>
        <w:pStyle w:val="Heading2"/>
      </w:pPr>
      <w:r>
        <w:t xml:space="preserve">4.2. Implementação única (front + banco)</w:t>
      </w:r>
    </w:p>
    <w:p>
      <w:pPr>
        <w:spacing w:after="120"/>
      </w:pPr>
      <w:r>
        <w:t xml:space="preserve">Fonte da verdade: tabelas no banco, populadas pela planilha anexa: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Catálogo dos recursos e ações reconhecidos (aba 1 da planilha).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Concessões por papel × recurso × ação (aba 2).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Concessões por departamento × recurso × ação (aba 3).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Exceções por pessoa/projeto (aba 4).</w:t>
            </w:r>
          </w:p>
        </w:tc>
      </w:tr>
    </w:tbl>
    <w:p>
      <w:pPr>
        <w:spacing w:before="120"/>
      </w:pPr>
      <w:r>
        <w:t xml:space="preserve">Uma função </w:t>
      </w:r>
      <w:r>
        <w:rPr>
          <w:rFonts w:ascii="Courier New" w:cs="Courier New" w:eastAsia="Courier New" w:hAnsi="Courier New"/>
          <w:b/>
          <w:bCs/>
        </w:rPr>
        <w:t xml:space="preserve">pode(projeto, recurso, acao) returns boolean</w:t>
      </w:r>
      <w:r>
        <w:t xml:space="preserve"> (security definer) implementa o resolver. Então: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RLS: </w:t>
      </w:r>
      <w:r>
        <w:t xml:space="preserve">cada policy de escrita passa a exigir pode(projeto_id,'recurso','update'). Fecha o C4.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Front: </w:t>
      </w:r>
      <w:r>
        <w:t xml:space="preserve">uma hook usePermissions(projetoId) lê o conjunto efetivo via RPC e expõe can(recurso,acao), aposentando os dois hooks atuais. Front e RLS usam a MESMA regra → fim da divergência.</w:t>
      </w:r>
    </w:p>
    <w:p>
      <w:pPr>
        <w:pStyle w:val="Heading2"/>
      </w:pPr>
      <w:r>
        <w:t xml:space="preserve">4.3. Roteiro de adoção (ágil)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Sprint de segurança (prioridade): </w:t>
      </w:r>
      <w:r>
        <w:t xml:space="preserve">criar as 4 tabelas + função pode() + trocar as policies de escrita. Fecha o buraco do C4 mesmo antes do front mudar.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Adapter: </w:t>
      </w:r>
      <w:r>
        <w:t xml:space="preserve">reescrever useProjectRole/useProjectDeptAccess como camadas finas sobre usePermissions — telas continuam funcionando, sem big-bang.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Migração tela a tela: </w:t>
      </w:r>
      <w:r>
        <w:t xml:space="preserve">trocar canEdit/canEditSection por can('recurso','acao') por página.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Ingestão da planilha: </w:t>
      </w:r>
      <w:r>
        <w:t xml:space="preserve">script que lê o .xlsx e gera os INSERTs/seed das 4 tabelas. Reconfigurar permissões vira editar a planilha + rodar o seed.</w:t>
      </w:r>
    </w:p>
    <w:p>
      <w:pPr>
        <w:spacing w:before="120"/>
      </w:pPr>
      <w:r>
        <w:rPr>
          <w:b/>
          <w:bCs/>
          <w:color w:val="2E5B8A"/>
        </w:rPr>
        <w:t xml:space="preserve">Nota de pré-incubação: </w:t>
      </w:r>
      <w:r>
        <w:t xml:space="preserve">para a entrega de 20/06, o passo 1 (sprint de segurança) é o único realmente obrigatório — ele converte o protocolo de segurança de 'cosmético' para 'real'. Os passos 2–4 podem seguir como pós-entrega sem bloquear os testes com as equipes.</w:t>
      </w:r>
    </w:p>
    <w:p>
      <w:pPr>
        <w:pStyle w:val="Heading1"/>
      </w:pPr>
      <w:r>
        <w:t xml:space="preserve">5. Modelo de preenchimento (anexo .xlsx)</w:t>
      </w:r>
    </w:p>
    <w:p>
      <w:pPr>
        <w:spacing w:after="120"/>
      </w:pPr>
      <w:r>
        <w:t xml:space="preserve">O arquivo </w:t>
      </w:r>
      <w:r>
        <w:rPr>
          <w:rFonts w:ascii="Courier New" w:cs="Courier New" w:eastAsia="Courier New" w:hAnsi="Courier New"/>
          <w:b/>
          <w:bCs/>
        </w:rPr>
        <w:t xml:space="preserve">Glauber_Modelo_Permissoes_PREENCHER.xlsx</w:t>
      </w:r>
      <w:r>
        <w:t xml:space="preserve"> é o que o sistema absorve. Já vem com defaults sugeridos (derivados do comportamento atual) — você apenas confirma ou ajusta as células amarelas.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0. Instruções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Como o resolver decide e os valores válidos. Leitura.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1. Recursos &amp; Ações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Catálogo de referência (cinza) — não editar.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2. Papel × Recurso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Confirmar/ajustar o que cada PAPEL pode, por ação (S/N).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3. Departamento × Recurso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Confirmar/ajustar o que cada DEPARTAMENTO pode editar (S/N).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4. Exceções por Pessoa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 casos especiais (ALLOW/DENY por pessoa). Começa vazia.</w:t>
            </w:r>
          </w:p>
        </w:tc>
      </w:tr>
    </w:tbl>
    <w:p>
      <w:pPr>
        <w:spacing w:before="120"/>
      </w:pPr>
      <w:r>
        <w:t xml:space="preserve">Pontos que pedem sua decisão (já marcados para revisar): </w:t>
      </w:r>
      <w:r>
        <w:rPr>
          <w:b/>
          <w:bCs/>
        </w:rPr>
        <w:t xml:space="preserve">(a)</w:t>
      </w:r>
      <w:r>
        <w:t xml:space="preserve"> 'admin' pode excluir projeto? (default: não — só owner); </w:t>
      </w:r>
      <w:r>
        <w:rPr>
          <w:b/>
          <w:bCs/>
        </w:rPr>
        <w:t xml:space="preserve">(b)</w:t>
      </w:r>
      <w:r>
        <w:t xml:space="preserve"> departamentos Som/Fotografia/Pós ainda não têm módulo dedicado — ficaram só com leitura; </w:t>
      </w:r>
      <w:r>
        <w:rPr>
          <w:b/>
          <w:bCs/>
        </w:rPr>
        <w:t xml:space="preserve">(c)</w:t>
      </w:r>
      <w:r>
        <w:t xml:space="preserve"> quem aprova despesa (default: produção e acima).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A7A"/>
        <w:sz w:val="16"/>
        <w:szCs w:val="16"/>
      </w:rPr>
      <w:t xml:space="preserve">Glauber · Permissões Composite · </w:t>
    </w:r>
    <w:r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2026-06-16T14:00:39.161Z</dcterms:created>
  <dcterms:modified xsi:type="dcterms:W3CDTF">2026-06-16T14:00:39.161Z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