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6"/>
          <w:szCs w:val="56"/>
        </w:rPr>
        <w:t xml:space="preserve">CINEFLOW</w:t>
      </w:r>
    </w:p>
    <w:p>
      <w:pPr>
        <w:spacing w:after="120"/>
        <w:jc w:val="center"/>
      </w:pPr>
      <w:r>
        <w:rPr>
          <w:rFonts w:ascii="Arial" w:cs="Arial" w:eastAsia="Arial" w:hAnsi="Arial"/>
          <w:b/>
          <w:bCs/>
          <w:color w:val="2E75B6"/>
          <w:sz w:val="36"/>
          <w:szCs w:val="36"/>
        </w:rPr>
        <w:t xml:space="preserve">Tabulação da Pesquisa de Validação</w:t>
      </w:r>
    </w:p>
    <w:p>
      <w:pPr>
        <w:spacing w:after="600"/>
        <w:jc w:val="center"/>
      </w:pPr>
      <w:r>
        <w:rPr>
          <w:rFonts w:ascii="Arial" w:cs="Arial" w:eastAsia="Arial" w:hAnsi="Arial"/>
          <w:i/>
          <w:iCs/>
          <w:color w:val="555555"/>
          <w:sz w:val="28"/>
          <w:szCs w:val="28"/>
        </w:rPr>
        <w:t xml:space="preserve">Transformação Digital e Eficiência no Audiovisual</w:t>
      </w:r>
    </w:p>
    <w:p>
      <w:pPr>
        <w:pBdr>
          <w:bottom w:val="single" w:color="1F3864" w:sz="12" w:space="1"/>
        </w:pBdr>
        <w:spacing w:after="400"/>
      </w:pPr>
      <w:r>
        <w:rPr>
          <w:rFonts w:ascii="Arial" w:cs="Arial" w:eastAsia="Arial" w:hAnsi="Arial"/>
        </w:rPr>
        <w:t xml:space="preserve"/>
      </w:r>
    </w:p>
    <w:p>
      <w:pPr>
        <w:spacing w:after="80"/>
        <w:jc w:val="center"/>
      </w:pPr>
      <w:r>
        <w:rPr>
          <w:rFonts w:ascii="Arial" w:cs="Arial" w:eastAsia="Arial" w:hAnsi="Arial"/>
          <w:sz w:val="24"/>
          <w:szCs w:val="24"/>
        </w:rPr>
        <w:t xml:space="preserve">Trilha de Pré-Incubação de Startups</w:t>
      </w:r>
    </w:p>
    <w:p>
      <w:pPr>
        <w:spacing w:after="600"/>
        <w:jc w:val="center"/>
      </w:pPr>
      <w:r>
        <w:rPr>
          <w:rFonts w:ascii="Arial" w:cs="Arial" w:eastAsia="Arial" w:hAnsi="Arial"/>
          <w:b/>
          <w:bCs/>
          <w:sz w:val="24"/>
          <w:szCs w:val="24"/>
        </w:rPr>
        <w:t xml:space="preserve">Porto Digital — Eixo Audiovisual</w:t>
      </w:r>
    </w:p>
    <w:p>
      <w:pPr>
        <w:spacing w:after="80"/>
        <w:jc w:val="center"/>
      </w:pPr>
      <w:r>
        <w:rPr>
          <w:rFonts w:ascii="Arial" w:cs="Arial" w:eastAsia="Arial" w:hAnsi="Arial"/>
          <w:sz w:val="22"/>
          <w:szCs w:val="22"/>
        </w:rPr>
        <w:t xml:space="preserve">Relatório executivo da 1ª onda de pesquisa quantitativa</w:t>
      </w:r>
    </w:p>
    <w:p>
      <w:pPr>
        <w:spacing w:after="1200"/>
        <w:jc w:val="center"/>
      </w:pPr>
      <w:r>
        <w:rPr>
          <w:rFonts w:ascii="Arial" w:cs="Arial" w:eastAsia="Arial" w:hAnsi="Arial"/>
          <w:i/>
          <w:iCs/>
          <w:color w:val="555555"/>
          <w:sz w:val="22"/>
          <w:szCs w:val="22"/>
        </w:rPr>
        <w:t xml:space="preserve">n = 22 respondentes | coleta 05/05/2026 a 20/05/2026</w:t>
      </w:r>
    </w:p>
    <w:p>
      <w:pPr>
        <w:jc w:val="center"/>
      </w:pPr>
      <w:r>
        <w:rPr>
          <w:rFonts w:ascii="Arial" w:cs="Arial" w:eastAsia="Arial" w:hAnsi="Arial"/>
          <w:color w:val="808080"/>
          <w:sz w:val="20"/>
          <w:szCs w:val="20"/>
        </w:rPr>
        <w:t xml:space="preserve">Recife, 20 de maio de 2026</w:t>
      </w:r>
    </w:p>
    <w:p>
      <w:r>
        <w:br w:type="page"/>
      </w:r>
    </w:p>
    <w:p>
      <w:pPr>
        <w:pStyle w:val="Heading1"/>
        <w:spacing w:after="200" w:before="360"/>
      </w:pPr>
      <w:r>
        <w:rPr>
          <w:rFonts w:ascii="Arial" w:cs="Arial" w:eastAsia="Arial" w:hAnsi="Arial"/>
          <w:b/>
          <w:bCs/>
          <w:color w:val="1F3864"/>
          <w:sz w:val="32"/>
          <w:szCs w:val="32"/>
        </w:rPr>
        <w:t xml:space="preserve">1. Sumário executivo</w:t>
      </w:r>
    </w:p>
    <w:p>
      <w:pPr>
        <w:spacing w:after="120" w:before="0"/>
        <w:jc w:val="left"/>
      </w:pPr>
      <w:r>
        <w:rPr>
          <w:rFonts w:ascii="Arial" w:cs="Arial" w:eastAsia="Arial" w:hAnsi="Arial"/>
          <w:b w:val="false"/>
          <w:bCs w:val="false"/>
          <w:i w:val="false"/>
          <w:iCs w:val="false"/>
          <w:color w:val="000000"/>
          <w:sz w:val="22"/>
          <w:szCs w:val="22"/>
        </w:rPr>
        <w:t xml:space="preserve">Esta tabulação consolida os resultados da primeira onda de pesquisa quantitativa do projeto CINEFLOW, realizada entre 5 e 20 de maio de 2026 junto a profissionais do audiovisual brasileiro, no escopo da Trilha de Pré-Incubação de Startups do Porto Digital — Eixo Audiovisual. Foram coletadas 22 respostas válidas via Google Forms, distribuído na rede pessoal e profissional do fundador, com o objetivo de validar a hipótese central do produto: existe demanda real por uma plataforma integrada que centralize Ordem do Dia, prestação de contas e logística para produções audiovisuais.</w:t>
      </w:r>
    </w:p>
    <w:p>
      <w:pPr>
        <w:spacing w:after="120" w:before="0"/>
        <w:jc w:val="left"/>
      </w:pPr>
      <w:r>
        <w:rPr>
          <w:rFonts w:ascii="Arial" w:cs="Arial" w:eastAsia="Arial" w:hAnsi="Arial"/>
          <w:b w:val="false"/>
          <w:bCs w:val="false"/>
          <w:i w:val="false"/>
          <w:iCs w:val="false"/>
          <w:color w:val="000000"/>
          <w:sz w:val="22"/>
          <w:szCs w:val="22"/>
        </w:rPr>
        <w:t xml:space="preserve">Os resultados confirmam, com evidência robusta, que (a) o setor opera quase universalmente sobre uma stack de ferramentas genéricas (WhatsApp + Google Drive + Sheets), (b) essa stack gera perdas mensuráveis de tempo e dinheiro, e (c) há disposição clara para experimentar uma solução dedicada. Destacam-se quatro achados:</w:t>
      </w:r>
    </w:p>
    <w:p>
      <w:pPr>
        <w:pStyle w:val="ListParagraph"/>
        <w:numPr>
          <w:ilvl w:val="0"/>
          <w:numId w:val="2"/>
        </w:numPr>
        <w:spacing w:after="80"/>
      </w:pPr>
      <w:r>
        <w:rPr>
          <w:rFonts w:ascii="Arial" w:cs="Arial" w:eastAsia="Arial" w:hAnsi="Arial"/>
          <w:b/>
          <w:bCs/>
          <w:sz w:val="22"/>
          <w:szCs w:val="22"/>
        </w:rPr>
        <w:t xml:space="preserve">Tempo desperdiçado universal</w:t>
      </w:r>
      <w:r>
        <w:rPr>
          <w:rFonts w:ascii="Arial" w:cs="Arial" w:eastAsia="Arial" w:hAnsi="Arial"/>
          <w:sz w:val="22"/>
          <w:szCs w:val="22"/>
        </w:rPr>
        <w:t xml:space="preserve"> — 72,7% dos respondentes perdem 5 horas ou mais por semana em tarefas administrativas manuais — sendo 31,8% acima de 10h/semana.</w:t>
      </w:r>
    </w:p>
    <w:p>
      <w:pPr>
        <w:pStyle w:val="ListParagraph"/>
        <w:numPr>
          <w:ilvl w:val="0"/>
          <w:numId w:val="2"/>
        </w:numPr>
        <w:spacing w:after="80"/>
      </w:pPr>
      <w:r>
        <w:rPr>
          <w:rFonts w:ascii="Arial" w:cs="Arial" w:eastAsia="Arial" w:hAnsi="Arial"/>
          <w:b/>
          <w:bCs/>
          <w:sz w:val="22"/>
          <w:szCs w:val="22"/>
        </w:rPr>
        <w:t xml:space="preserve">Prejuízo financeiro real</w:t>
      </w:r>
      <w:r>
        <w:rPr>
          <w:rFonts w:ascii="Arial" w:cs="Arial" w:eastAsia="Arial" w:hAnsi="Arial"/>
          <w:sz w:val="22"/>
          <w:szCs w:val="22"/>
        </w:rPr>
        <w:t xml:space="preserve"> — 36,4% já tiveram prejuízos diretos na prestação de contas (glosas em editais, perda de reembolsos ou multas).</w:t>
      </w:r>
    </w:p>
    <w:p>
      <w:pPr>
        <w:pStyle w:val="ListParagraph"/>
        <w:numPr>
          <w:ilvl w:val="0"/>
          <w:numId w:val="2"/>
        </w:numPr>
        <w:spacing w:after="80"/>
      </w:pPr>
      <w:r>
        <w:rPr>
          <w:rFonts w:ascii="Arial" w:cs="Arial" w:eastAsia="Arial" w:hAnsi="Arial"/>
          <w:b/>
          <w:bCs/>
          <w:sz w:val="22"/>
          <w:szCs w:val="22"/>
        </w:rPr>
        <w:t xml:space="preserve">Reconhecimento de valor unânime</w:t>
      </w:r>
      <w:r>
        <w:rPr>
          <w:rFonts w:ascii="Arial" w:cs="Arial" w:eastAsia="Arial" w:hAnsi="Arial"/>
          <w:sz w:val="22"/>
          <w:szCs w:val="22"/>
        </w:rPr>
        <w:t xml:space="preserve"> — 100% dos respondentes percebem impacto positivo na proposta (45,5% alto, 54,5% moderado). Zero recusas.</w:t>
      </w:r>
    </w:p>
    <w:p>
      <w:pPr>
        <w:pStyle w:val="ListParagraph"/>
        <w:numPr>
          <w:ilvl w:val="0"/>
          <w:numId w:val="2"/>
        </w:numPr>
        <w:spacing w:after="80"/>
      </w:pPr>
      <w:r>
        <w:rPr>
          <w:rFonts w:ascii="Arial" w:cs="Arial" w:eastAsia="Arial" w:hAnsi="Arial"/>
          <w:b/>
          <w:bCs/>
          <w:sz w:val="22"/>
          <w:szCs w:val="22"/>
        </w:rPr>
        <w:t xml:space="preserve">Engajamento qualitativo alto</w:t>
      </w:r>
      <w:r>
        <w:rPr>
          <w:rFonts w:ascii="Arial" w:cs="Arial" w:eastAsia="Arial" w:hAnsi="Arial"/>
          <w:sz w:val="22"/>
          <w:szCs w:val="22"/>
        </w:rPr>
        <w:t xml:space="preserve"> — 72,7% (16 pessoas) aceitam fornecer feedback qualitativo aprofundado de 15 minutos — base sólida para a próxima fase.</w:t>
      </w:r>
    </w:p>
    <w:p>
      <w:pPr>
        <w:spacing w:after="120" w:before="0"/>
        <w:jc w:val="left"/>
      </w:pPr>
      <w:r>
        <w:rPr>
          <w:rFonts w:ascii="Arial" w:cs="Arial" w:eastAsia="Arial" w:hAnsi="Arial"/>
          <w:b w:val="false"/>
          <w:bCs w:val="false"/>
          <w:i w:val="false"/>
          <w:iCs w:val="false"/>
          <w:color w:val="000000"/>
          <w:sz w:val="22"/>
          <w:szCs w:val="22"/>
        </w:rPr>
        <w:t xml:space="preserve">A recomendação é avançar com confiança para a fase de Solution Validation, conduzindo as 16 entrevistas qualitativas já agendáveis e iniciando o protótipo do módulo Ordem do Dia, identificado como a dor mais tangível e frequentemente citada.</w:t>
      </w:r>
    </w:p>
    <w:p>
      <w:pPr>
        <w:pStyle w:val="Heading1"/>
        <w:spacing w:after="200" w:before="360"/>
      </w:pPr>
      <w:r>
        <w:rPr>
          <w:rFonts w:ascii="Arial" w:cs="Arial" w:eastAsia="Arial" w:hAnsi="Arial"/>
          <w:b/>
          <w:bCs/>
          <w:color w:val="1F3864"/>
          <w:sz w:val="32"/>
          <w:szCs w:val="32"/>
        </w:rPr>
        <w:t xml:space="preserve">2. Metodologia</w:t>
      </w:r>
    </w:p>
    <w:p>
      <w:pPr>
        <w:spacing w:after="120" w:before="0"/>
        <w:jc w:val="left"/>
      </w:pPr>
      <w:r>
        <w:rPr>
          <w:rFonts w:ascii="Arial" w:cs="Arial" w:eastAsia="Arial" w:hAnsi="Arial"/>
          <w:b w:val="false"/>
          <w:bCs w:val="false"/>
          <w:i w:val="false"/>
          <w:iCs w:val="false"/>
          <w:color w:val="000000"/>
          <w:sz w:val="22"/>
          <w:szCs w:val="22"/>
        </w:rPr>
        <w:t xml:space="preserve">A pesquisa foi conduzida em formato auto-aplicado online (Google Forms), com 15 perguntas organizadas em três blocos: (i) perfil do respondente (função, produtora, porte, região); (ii) dores operacionais (comunicação, prestação de contas, gestão de equipe, tempo desperdiçado); (iii) validação da proposta (impacto percebido e disposição para entrevista qualitativa). O instrumento combinou escalas Likert de 1 a 5, perguntas categóricas, multi-seleção e campos abertos.</w:t>
      </w:r>
    </w:p>
    <w:p>
      <w:pPr>
        <w:pStyle w:val="Heading3"/>
        <w:spacing w:after="120" w:before="200"/>
      </w:pPr>
      <w:r>
        <w:rPr>
          <w:rFonts w:ascii="Arial" w:cs="Arial" w:eastAsia="Arial" w:hAnsi="Arial"/>
          <w:b/>
          <w:bCs/>
          <w:color w:val="1F3864"/>
          <w:sz w:val="22"/>
          <w:szCs w:val="22"/>
        </w:rPr>
        <w:t xml:space="preserve">Limitações reconhecidas</w:t>
      </w:r>
    </w:p>
    <w:p>
      <w:pPr>
        <w:spacing w:after="120" w:before="0"/>
        <w:jc w:val="left"/>
      </w:pPr>
      <w:r>
        <w:rPr>
          <w:rFonts w:ascii="Arial" w:cs="Arial" w:eastAsia="Arial" w:hAnsi="Arial"/>
          <w:b w:val="false"/>
          <w:bCs w:val="false"/>
          <w:i w:val="false"/>
          <w:iCs w:val="false"/>
          <w:color w:val="000000"/>
          <w:sz w:val="22"/>
          <w:szCs w:val="22"/>
        </w:rPr>
        <w:t xml:space="preserve">A amostra é pequena (n=22) e foi obtida por conveniência, com forte concentração regional no Nordeste (63,6%) e viés relacional (rede do fundador). Os resultados devem ser lidos como sinais qualitativos consistentes e não como inferência estatística generalizável ao setor audiovisual brasileiro. A próxima onda de pesquisa deve ampliar a amostra para 60+ respostas e balancear regiões/portes de produtora.</w:t>
      </w:r>
    </w:p>
    <w:p>
      <w:pPr>
        <w:pStyle w:val="Heading1"/>
        <w:spacing w:after="200" w:before="360"/>
      </w:pPr>
      <w:r>
        <w:rPr>
          <w:rFonts w:ascii="Arial" w:cs="Arial" w:eastAsia="Arial" w:hAnsi="Arial"/>
          <w:b/>
          <w:bCs/>
          <w:color w:val="1F3864"/>
          <w:sz w:val="32"/>
          <w:szCs w:val="32"/>
        </w:rPr>
        <w:t xml:space="preserve">3. Perfil dos respondentes</w:t>
      </w:r>
    </w:p>
    <w:p>
      <w:pPr>
        <w:pStyle w:val="Heading2"/>
        <w:spacing w:after="160" w:before="280"/>
      </w:pPr>
      <w:r>
        <w:rPr>
          <w:rFonts w:ascii="Arial" w:cs="Arial" w:eastAsia="Arial" w:hAnsi="Arial"/>
          <w:b/>
          <w:bCs/>
          <w:color w:val="2E75B6"/>
          <w:sz w:val="26"/>
          <w:szCs w:val="26"/>
        </w:rPr>
        <w:t xml:space="preserve">3.1 Distribuição por função</w:t>
      </w:r>
    </w:p>
    <w:p>
      <w:pPr>
        <w:spacing w:after="120" w:before="0"/>
        <w:jc w:val="left"/>
      </w:pPr>
      <w:r>
        <w:rPr>
          <w:rFonts w:ascii="Arial" w:cs="Arial" w:eastAsia="Arial" w:hAnsi="Arial"/>
          <w:b w:val="false"/>
          <w:bCs w:val="false"/>
          <w:i w:val="false"/>
          <w:iCs w:val="false"/>
          <w:color w:val="000000"/>
          <w:sz w:val="22"/>
          <w:szCs w:val="22"/>
        </w:rPr>
        <w:t xml:space="preserve">Metade dos respondentes está em funções de produção (Produtor Executivo, Coordenador, Diretor de Produção, Produtor), que são justamente os perfis com maior poder de decisão sobre adoção de ferramentas em uma produtora. Pós-produção, Direção e Roteiro completam a amostra.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Categoria de função</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Produção (Executivo / Coord / DP)</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11</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50,0%</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Direção / Assistência de Direção</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18,2%</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Roteiro / Direção criativa</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18,2%</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Pós-produção / Montagem / Cor</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13,6%</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w:t>
            </w:r>
          </w:p>
        </w:tc>
      </w:tr>
    </w:tbl>
    <w:p>
      <w:pPr>
        <w:pStyle w:val="Heading2"/>
        <w:spacing w:after="160" w:before="280"/>
      </w:pPr>
      <w:r>
        <w:rPr>
          <w:rFonts w:ascii="Arial" w:cs="Arial" w:eastAsia="Arial" w:hAnsi="Arial"/>
          <w:b/>
          <w:bCs/>
          <w:color w:val="2E75B6"/>
          <w:sz w:val="26"/>
          <w:szCs w:val="26"/>
        </w:rPr>
        <w:t xml:space="preserve">3.2 Distribuição regional</w:t>
      </w:r>
    </w:p>
    <w:p>
      <w:pPr>
        <w:spacing w:after="120" w:before="0"/>
        <w:jc w:val="left"/>
      </w:pPr>
      <w:r>
        <w:rPr>
          <w:rFonts w:ascii="Arial" w:cs="Arial" w:eastAsia="Arial" w:hAnsi="Arial"/>
          <w:b w:val="false"/>
          <w:bCs w:val="false"/>
          <w:i w:val="false"/>
          <w:iCs w:val="false"/>
          <w:color w:val="000000"/>
          <w:sz w:val="22"/>
          <w:szCs w:val="22"/>
        </w:rPr>
        <w:t xml:space="preserve">A concentração no Nordeste (63,6%) é coerente com a origem do projeto no Porto Digital (Recife) e cria uma praça-piloto natural. A presença do Sudeste (22,7%) garante uma ponte para o mercado nacional na fase de expansão.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Região</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Nordeste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14</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63,6%</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Sudeste</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22,7%</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Sul</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Não informado</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9,1%</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w:t>
            </w:r>
          </w:p>
        </w:tc>
      </w:tr>
    </w:tbl>
    <w:p>
      <w:pPr>
        <w:pStyle w:val="Heading2"/>
        <w:spacing w:after="160" w:before="280"/>
      </w:pPr>
      <w:r>
        <w:rPr>
          <w:rFonts w:ascii="Arial" w:cs="Arial" w:eastAsia="Arial" w:hAnsi="Arial"/>
          <w:b/>
          <w:bCs/>
          <w:color w:val="2E75B6"/>
          <w:sz w:val="26"/>
          <w:szCs w:val="26"/>
        </w:rPr>
        <w:t xml:space="preserve">3.3 Enquadramento jurídico</w:t>
      </w:r>
    </w:p>
    <w:p>
      <w:pPr>
        <w:spacing w:after="120" w:before="0"/>
        <w:jc w:val="left"/>
      </w:pPr>
      <w:r>
        <w:rPr>
          <w:rFonts w:ascii="Arial" w:cs="Arial" w:eastAsia="Arial" w:hAnsi="Arial"/>
          <w:b w:val="false"/>
          <w:bCs w:val="false"/>
          <w:i w:val="false"/>
          <w:iCs w:val="false"/>
          <w:color w:val="000000"/>
          <w:sz w:val="22"/>
          <w:szCs w:val="22"/>
        </w:rPr>
        <w:t xml:space="preserve">A predominância de produtoras formalizadas (LTDA: 40,9%; ME: 27,3%) confirma que o ICP inicial tem maturidade jurídica suficiente para contratar SaaS B2B. Os MEIs (18,2%) sinalizam uma faixa importante de freelancers e pequenas operações que podem ser atendidas com um plano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Enquadramento</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LTDA</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40,9%</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ME (sócio único / ME LTDA)</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27,3%</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MEI</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18,2%</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EPP</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Sem produtora formal / em branco</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9,1%</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w:t>
            </w:r>
          </w:p>
        </w:tc>
      </w:tr>
    </w:tbl>
    <w:p>
      <w:pPr>
        <w:pStyle w:val="Heading2"/>
        <w:spacing w:after="160" w:before="280"/>
      </w:pPr>
      <w:r>
        <w:rPr>
          <w:rFonts w:ascii="Arial" w:cs="Arial" w:eastAsia="Arial" w:hAnsi="Arial"/>
          <w:b/>
          <w:bCs/>
          <w:color w:val="2E75B6"/>
          <w:sz w:val="26"/>
          <w:szCs w:val="26"/>
        </w:rPr>
        <w:t xml:space="preserve">3.4 Porte das produções</w:t>
      </w:r>
    </w:p>
    <w:p>
      <w:pPr>
        <w:spacing w:after="120" w:before="0"/>
        <w:jc w:val="left"/>
      </w:pPr>
      <w:r>
        <w:rPr>
          <w:rFonts w:ascii="Arial" w:cs="Arial" w:eastAsia="Arial" w:hAnsi="Arial"/>
          <w:b w:val="false"/>
          <w:bCs w:val="false"/>
          <w:i w:val="false"/>
          <w:iCs w:val="false"/>
          <w:color w:val="000000"/>
          <w:sz w:val="22"/>
          <w:szCs w:val="22"/>
        </w:rPr>
        <w:t xml:space="preserve">Pergunta multi-resposta: cada respondente pôde marcar todos os formatos em que atua. Curtas-metragens e Séries empatam como formatos mais frequentes (15 menções cada), seguidos de perto por Longas (13). Essa sobreposição confirma um perfil multi-formato típico do mercado independente brasileiro: o mesmo profissional opera simultaneamente em projetos com ritmos, prazos e exigências distintas.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Formato</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sobre 22</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Curtas-metragens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15</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68,2%</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Séries</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15</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68,2%</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Longas-metragens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13</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59,1%</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Conteúdo Digital</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40,9%</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Videoclipes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18,2%</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Publicidade</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18,2%</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Outros (Reality, Corporativo, Vídeo arte)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13,6%</w:t>
            </w:r>
          </w:p>
        </w:tc>
      </w:tr>
    </w:tbl>
    <w:p>
      <w:pPr>
        <w:pStyle w:val="Heading1"/>
        <w:spacing w:after="200" w:before="360"/>
      </w:pPr>
      <w:r>
        <w:rPr>
          <w:rFonts w:ascii="Arial" w:cs="Arial" w:eastAsia="Arial" w:hAnsi="Arial"/>
          <w:b/>
          <w:bCs/>
          <w:color w:val="1F3864"/>
          <w:sz w:val="32"/>
          <w:szCs w:val="32"/>
        </w:rPr>
        <w:t xml:space="preserve">4. Dores operacionais mapeadas</w:t>
      </w:r>
    </w:p>
    <w:p>
      <w:pPr>
        <w:pStyle w:val="Heading2"/>
        <w:spacing w:after="160" w:before="280"/>
      </w:pPr>
      <w:r>
        <w:rPr>
          <w:rFonts w:ascii="Arial" w:cs="Arial" w:eastAsia="Arial" w:hAnsi="Arial"/>
          <w:b/>
          <w:bCs/>
          <w:color w:val="2E75B6"/>
          <w:sz w:val="26"/>
          <w:szCs w:val="26"/>
        </w:rPr>
        <w:t xml:space="preserve">4.1 Stack atual de ferramentas</w:t>
      </w:r>
    </w:p>
    <w:p>
      <w:pPr>
        <w:spacing w:after="120" w:before="0"/>
        <w:jc w:val="left"/>
      </w:pPr>
      <w:r>
        <w:rPr>
          <w:rFonts w:ascii="Arial" w:cs="Arial" w:eastAsia="Arial" w:hAnsi="Arial"/>
          <w:b w:val="false"/>
          <w:bCs w:val="false"/>
          <w:i w:val="false"/>
          <w:iCs w:val="false"/>
          <w:color w:val="000000"/>
          <w:sz w:val="22"/>
          <w:szCs w:val="22"/>
        </w:rPr>
        <w:t xml:space="preserve">O dado mais marcante da pesquisa: 95,5% dos respondentes usam WhatsApp como ferramenta de gestão de produção, 90,9% usam Google Drive e 81,8% usam Planilhas Excel/Sheets. Nenhuma ferramenta dedicada ao audiovisual aparece em mais de 14% dos respondentes. Esse é um indicativo forte de oportunidade de mercado: o setor opera, de fato, sem solução verticalizada.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Ferramenta</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sobre 22</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WhatsApp</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21</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95,5%</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Google Drive</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20</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90,9%</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Planilhas Excel / Google Sheets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18</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81,8%</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Notion</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13,6%</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Trello</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9,1%</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Frame.io</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9,1%</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Movie Magic</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DaVinci Resolve</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Esferas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w:t>
            </w:r>
          </w:p>
        </w:tc>
      </w:tr>
    </w:tbl>
    <w:p>
      <w:pPr>
        <w:spacing w:after="120" w:before="0"/>
        <w:jc w:val="left"/>
      </w:pPr>
      <w:r>
        <w:rPr>
          <w:rFonts w:ascii="Arial" w:cs="Arial" w:eastAsia="Arial" w:hAnsi="Arial"/>
          <w:b w:val="false"/>
          <w:bCs w:val="false"/>
          <w:i/>
          <w:iCs/>
          <w:color w:val="555555"/>
          <w:sz w:val="22"/>
          <w:szCs w:val="22"/>
        </w:rPr>
        <w:t xml:space="preserve">Observação qualitativa: ferramentas dedicadas (Frame.io, DaVinci Resolve, Movie Magic) aparecem apenas entre montadores e coloristas. Isso indica que a pós-produção já tem cultura de ferramenta vertical, mas a pré-produção e a produção propriamente ditas permanecem sem solução dedicada — exatamente o vácuo que o CINEFLOW se propõe a ocupar.</w:t>
      </w:r>
    </w:p>
    <w:p>
      <w:pPr>
        <w:pStyle w:val="Heading2"/>
        <w:spacing w:after="160" w:before="280"/>
      </w:pPr>
      <w:r>
        <w:rPr>
          <w:rFonts w:ascii="Arial" w:cs="Arial" w:eastAsia="Arial" w:hAnsi="Arial"/>
          <w:b/>
          <w:bCs/>
          <w:color w:val="2E75B6"/>
          <w:sz w:val="26"/>
          <w:szCs w:val="26"/>
        </w:rPr>
        <w:t xml:space="preserve">4.2 Ruídos de comunicação</w:t>
      </w:r>
    </w:p>
    <w:p>
      <w:pPr>
        <w:spacing w:after="120" w:before="0"/>
        <w:jc w:val="left"/>
      </w:pPr>
      <w:r>
        <w:rPr>
          <w:rFonts w:ascii="Arial" w:cs="Arial" w:eastAsia="Arial" w:hAnsi="Arial"/>
          <w:b w:val="false"/>
          <w:bCs w:val="false"/>
          <w:i w:val="false"/>
          <w:iCs w:val="false"/>
          <w:color w:val="000000"/>
          <w:sz w:val="22"/>
          <w:szCs w:val="22"/>
        </w:rPr>
        <w:t xml:space="preserve">Na escala 1–5 (1 = nunca; 5 = sempre), a média foi 2,95 e a mediana 3. Mais relevante: 36,4% dos respondentes deram nota 4 ou 5, indicando ruídos frequentes ou constantes por informação desatualizada (Ordem do Dia que mudou, alguém não viu).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Nota</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 — Nunca</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18,2%</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 — Raro</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22,7%</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 — Às vezes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22,7%</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 — Frequente</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18,2%</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 — Sempre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18,2%</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w:t>
            </w:r>
          </w:p>
        </w:tc>
      </w:tr>
    </w:tbl>
    <w:p>
      <w:pPr>
        <w:pStyle w:val="Heading2"/>
        <w:spacing w:after="160" w:before="280"/>
      </w:pPr>
      <w:r>
        <w:rPr>
          <w:rFonts w:ascii="Arial" w:cs="Arial" w:eastAsia="Arial" w:hAnsi="Arial"/>
          <w:b/>
          <w:bCs/>
          <w:color w:val="2E75B6"/>
          <w:sz w:val="26"/>
          <w:szCs w:val="26"/>
        </w:rPr>
        <w:t xml:space="preserve">4.3 Prestação de contas</w:t>
      </w:r>
    </w:p>
    <w:p>
      <w:pPr>
        <w:spacing w:after="120" w:before="0"/>
        <w:jc w:val="left"/>
      </w:pPr>
      <w:r>
        <w:rPr>
          <w:rFonts w:ascii="Arial" w:cs="Arial" w:eastAsia="Arial" w:hAnsi="Arial"/>
          <w:b w:val="false"/>
          <w:bCs w:val="false"/>
          <w:i w:val="false"/>
          <w:iCs w:val="false"/>
          <w:color w:val="000000"/>
          <w:sz w:val="22"/>
          <w:szCs w:val="22"/>
        </w:rPr>
        <w:t xml:space="preserve">36,4% dos respondentes já tiveram prejuízos diretos na prestação de contas — soma de quem respondeu “ocasionalmente” (22,7%) e “frequentemente” (13,6%). Em editais públicos (Ancine, Funcultura, Lei Paulo Gustavo, etc.), prejuízo aqui significa glosa de itens, perda de reembolso ou multa formal. Considerando que a maioria opera sobre Sheets e Drive sem trilha de auditoria, o risco é estrutural.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Categoria</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Nunca tive problemas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18,2%</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Raramente</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45,5%</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Sim, ocasionalmente</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22,7%</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Sim, frequentemente</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13,6%</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w:t>
            </w:r>
          </w:p>
        </w:tc>
      </w:tr>
    </w:tbl>
    <w:p>
      <w:pPr>
        <w:pStyle w:val="Heading2"/>
        <w:spacing w:after="160" w:before="280"/>
      </w:pPr>
      <w:r>
        <w:rPr>
          <w:rFonts w:ascii="Arial" w:cs="Arial" w:eastAsia="Arial" w:hAnsi="Arial"/>
          <w:b/>
          <w:bCs/>
          <w:color w:val="2E75B6"/>
          <w:sz w:val="26"/>
          <w:szCs w:val="26"/>
        </w:rPr>
        <w:t xml:space="preserve">4.4 Gestão de equipe e logística</w:t>
      </w:r>
    </w:p>
    <w:p>
      <w:pPr>
        <w:spacing w:after="120" w:before="0"/>
        <w:jc w:val="left"/>
      </w:pPr>
      <w:r>
        <w:rPr>
          <w:rFonts w:ascii="Arial" w:cs="Arial" w:eastAsia="Arial" w:hAnsi="Arial"/>
          <w:b w:val="false"/>
          <w:bCs w:val="false"/>
          <w:i w:val="false"/>
          <w:iCs w:val="false"/>
          <w:color w:val="000000"/>
          <w:sz w:val="22"/>
          <w:szCs w:val="22"/>
        </w:rPr>
        <w:t xml:space="preserve">Escala 1–5, média 3,09 e mediana 3. A dor é moderada em média, mas concentrada: 27,3% dos respondentes reportam dificuldade alta (notas 4 e 5) para controlar jornada, transporte e check-in da equipe em diferentes locações.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Nota</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 — Muito fácil</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 — Fácil</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22,7%</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 — Moderado</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45,5%</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 — Difícil</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13,6%</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5 — Muito difícil</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13,6%</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w:t>
            </w:r>
          </w:p>
        </w:tc>
      </w:tr>
    </w:tbl>
    <w:p>
      <w:pPr>
        <w:pStyle w:val="Heading2"/>
        <w:spacing w:after="160" w:before="280"/>
      </w:pPr>
      <w:r>
        <w:rPr>
          <w:rFonts w:ascii="Arial" w:cs="Arial" w:eastAsia="Arial" w:hAnsi="Arial"/>
          <w:b/>
          <w:bCs/>
          <w:color w:val="2E75B6"/>
          <w:sz w:val="26"/>
          <w:szCs w:val="26"/>
        </w:rPr>
        <w:t xml:space="preserve">4.5 Tempo desperdiçado</w:t>
      </w:r>
    </w:p>
    <w:p>
      <w:pPr>
        <w:spacing w:after="120" w:before="0"/>
        <w:jc w:val="left"/>
      </w:pPr>
      <w:r>
        <w:rPr>
          <w:rFonts w:ascii="Arial" w:cs="Arial" w:eastAsia="Arial" w:hAnsi="Arial"/>
          <w:b w:val="false"/>
          <w:bCs w:val="false"/>
          <w:i w:val="false"/>
          <w:iCs w:val="false"/>
          <w:color w:val="000000"/>
          <w:sz w:val="22"/>
          <w:szCs w:val="22"/>
        </w:rPr>
        <w:t xml:space="preserve">Talvez o dado mais financeiramente relevante: 72,7% dos respondentes estimam que sua equipe perde 5 horas ou mais por semana em tarefas puramente administrativas (repassar cronogramas, cobrar notas fiscais, organizar recibos). 31,8% indicam mais de 10 horas por semana. Em uma jornada de 40h, isso equivale a 12,5% a 25% do tempo de trabalho convertido em pura coordenação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Faixa</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Menos de 5 horas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22,7%</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 5 a 10 horas</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40,9%</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Mais de 10 horas</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31,8%</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 (perfil diferente)</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w:t>
            </w:r>
          </w:p>
        </w:tc>
      </w:tr>
    </w:tbl>
    <w:p>
      <w:pPr>
        <w:pStyle w:val="Heading1"/>
        <w:spacing w:after="200" w:before="360"/>
      </w:pPr>
      <w:r>
        <w:rPr>
          <w:rFonts w:ascii="Arial" w:cs="Arial" w:eastAsia="Arial" w:hAnsi="Arial"/>
          <w:b/>
          <w:bCs/>
          <w:color w:val="1F3864"/>
          <w:sz w:val="32"/>
          <w:szCs w:val="32"/>
        </w:rPr>
        <w:t xml:space="preserve">5. Validação da proposta CINEFLOW</w:t>
      </w:r>
    </w:p>
    <w:p>
      <w:pPr>
        <w:pStyle w:val="Heading2"/>
        <w:spacing w:after="160" w:before="280"/>
      </w:pPr>
      <w:r>
        <w:rPr>
          <w:rFonts w:ascii="Arial" w:cs="Arial" w:eastAsia="Arial" w:hAnsi="Arial"/>
          <w:b/>
          <w:bCs/>
          <w:color w:val="2E75B6"/>
          <w:sz w:val="26"/>
          <w:szCs w:val="26"/>
        </w:rPr>
        <w:t xml:space="preserve">5.1 Impacto percebido</w:t>
      </w:r>
    </w:p>
    <w:p>
      <w:pPr>
        <w:spacing w:after="120" w:before="0"/>
        <w:jc w:val="left"/>
      </w:pPr>
      <w:r>
        <w:rPr>
          <w:rFonts w:ascii="Arial" w:cs="Arial" w:eastAsia="Arial" w:hAnsi="Arial"/>
          <w:b w:val="false"/>
          <w:bCs w:val="false"/>
          <w:i w:val="false"/>
          <w:iCs w:val="false"/>
          <w:color w:val="000000"/>
          <w:sz w:val="22"/>
          <w:szCs w:val="22"/>
        </w:rPr>
        <w:t xml:space="preserve">Esta é a pergunta-chave de validação: “Se existisse uma plataforma que centralizasse a Ordem do Dia interativa, prestação de contas digital e logística de transporte em um único lugar, qual seria o impacto no seu trabalho?”. O resultado é categórico: 100% dos respondentes reconheceram impacto positivo. Nenhum marcou “sem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Impacto percebido</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Impacto alto (resolveria dores críticas e economizaria dinheiro)</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45,5%</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Impacto moderado (ajudaria a organizar melhor)</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12</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54,5%</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Sem impacto</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0,0%</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w:t>
            </w:r>
          </w:p>
        </w:tc>
      </w:tr>
    </w:tbl>
    <w:p>
      <w:pPr>
        <w:pStyle w:val="Heading2"/>
        <w:spacing w:after="160" w:before="280"/>
      </w:pPr>
      <w:r>
        <w:rPr>
          <w:rFonts w:ascii="Arial" w:cs="Arial" w:eastAsia="Arial" w:hAnsi="Arial"/>
          <w:b/>
          <w:bCs/>
          <w:color w:val="2E75B6"/>
          <w:sz w:val="26"/>
          <w:szCs w:val="26"/>
        </w:rPr>
        <w:t xml:space="preserve">5.2 Disposição para entrevista qualitativa</w:t>
      </w:r>
    </w:p>
    <w:p>
      <w:pPr>
        <w:spacing w:after="120" w:before="0"/>
        <w:jc w:val="left"/>
      </w:pPr>
      <w:r>
        <w:rPr>
          <w:rFonts w:ascii="Arial" w:cs="Arial" w:eastAsia="Arial" w:hAnsi="Arial"/>
          <w:b w:val="false"/>
          <w:bCs w:val="false"/>
          <w:i w:val="false"/>
          <w:iCs w:val="false"/>
          <w:color w:val="000000"/>
          <w:sz w:val="22"/>
          <w:szCs w:val="22"/>
        </w:rPr>
        <w:t xml:space="preserve">72,7% dos respondentes (16 pessoas) aceitaram conceder uma entrevista de 15 minutos para feedback aprofundado. Considerando que o convite foi anexado ao final do formulário (após exigir engajamento), a taxa é excepcional e indica um pipeline imediato de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tblHeader/>
        </w:trPr>
        <w:tc>
          <w:tcPr>
            <w:tcW w:type="dxa" w:w="54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Aceita entrevista?</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19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SIM</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16</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72,7%</w:t>
            </w:r>
          </w:p>
        </w:tc>
      </w:tr>
      <w:tr>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NÃO</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19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27,3%</w:t>
            </w:r>
          </w:p>
        </w:tc>
      </w:tr>
      <w:tr>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w:t>
            </w:r>
          </w:p>
        </w:tc>
        <w:tc>
          <w:tcPr>
            <w:tcW w:type="dxa" w:w="19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w:t>
            </w:r>
          </w:p>
        </w:tc>
      </w:tr>
    </w:tbl>
    <w:p>
      <w:pPr>
        <w:pStyle w:val="Heading1"/>
        <w:spacing w:after="200" w:before="360"/>
      </w:pPr>
      <w:r>
        <w:rPr>
          <w:rFonts w:ascii="Arial" w:cs="Arial" w:eastAsia="Arial" w:hAnsi="Arial"/>
          <w:b/>
          <w:bCs/>
          <w:color w:val="1F3864"/>
          <w:sz w:val="32"/>
          <w:szCs w:val="32"/>
        </w:rPr>
        <w:t xml:space="preserve">6. Cruzamentos estratégicos</w:t>
      </w:r>
    </w:p>
    <w:p>
      <w:pPr>
        <w:spacing w:after="120" w:before="0"/>
        <w:jc w:val="left"/>
      </w:pPr>
      <w:r>
        <w:rPr>
          <w:rFonts w:ascii="Arial" w:cs="Arial" w:eastAsia="Arial" w:hAnsi="Arial"/>
          <w:b w:val="false"/>
          <w:bCs w:val="false"/>
          <w:i w:val="false"/>
          <w:iCs w:val="false"/>
          <w:color w:val="000000"/>
          <w:sz w:val="22"/>
          <w:szCs w:val="22"/>
        </w:rPr>
        <w:t xml:space="preserve">Os cruzamentos a seguir refinam a leitura geral e ajudam a definir o ICP (Ideal Customer Profile) e o roadmap de produto.</w:t>
      </w:r>
    </w:p>
    <w:p>
      <w:pPr>
        <w:pStyle w:val="Heading3"/>
        <w:spacing w:after="120" w:before="200"/>
      </w:pPr>
      <w:r>
        <w:rPr>
          <w:rFonts w:ascii="Arial" w:cs="Arial" w:eastAsia="Arial" w:hAnsi="Arial"/>
          <w:b/>
          <w:bCs/>
          <w:color w:val="1F3864"/>
          <w:sz w:val="22"/>
          <w:szCs w:val="22"/>
        </w:rPr>
        <w:t xml:space="preserve">6.1 Função × Tempo desperdiçado</w:t>
      </w:r>
    </w:p>
    <w:p>
      <w:pPr>
        <w:spacing w:after="120" w:before="0"/>
        <w:jc w:val="left"/>
      </w:pPr>
      <w:r>
        <w:rPr>
          <w:rFonts w:ascii="Arial" w:cs="Arial" w:eastAsia="Arial" w:hAnsi="Arial"/>
          <w:b w:val="false"/>
          <w:bCs w:val="false"/>
          <w:i w:val="false"/>
          <w:iCs w:val="false"/>
          <w:color w:val="000000"/>
          <w:sz w:val="22"/>
          <w:szCs w:val="22"/>
        </w:rPr>
        <w:t xml:space="preserve">Profissionais de produção (Executivo, Coordenador, Diretor de Produção) concentram a dor de tempo: 10 dos 11 respondentes desse grupo perdem 5h+/semana, e 6 perdem +10h. Esse grupo é onde a dor é mais aguda e onde a decisão de compra é tomada.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150"/>
        <w:gridCol w:w="1150"/>
        <w:gridCol w:w="1150"/>
        <w:gridCol w:w="1150"/>
        <w:gridCol w:w="1200"/>
      </w:tblGrid>
      <w:tr>
        <w:trPr>
          <w:tblHeader/>
        </w:trPr>
        <w:tc>
          <w:tcPr>
            <w:tcW w:type="dxa" w:w="35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Categoria</w:t>
            </w:r>
          </w:p>
        </w:tc>
        <w:tc>
          <w:tcPr>
            <w:tcW w:type="dxa" w:w="11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&lt;5h</w:t>
            </w:r>
          </w:p>
        </w:tc>
        <w:tc>
          <w:tcPr>
            <w:tcW w:type="dxa" w:w="11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5–10h</w:t>
            </w:r>
          </w:p>
        </w:tc>
        <w:tc>
          <w:tcPr>
            <w:tcW w:type="dxa" w:w="11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+10h</w:t>
            </w:r>
          </w:p>
        </w:tc>
        <w:tc>
          <w:tcPr>
            <w:tcW w:type="dxa" w:w="11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w:t>
            </w:r>
          </w:p>
        </w:tc>
        <w:tc>
          <w:tcPr>
            <w:tcW w:type="dxa" w:w="120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w:t>
            </w:r>
          </w:p>
        </w:tc>
      </w:tr>
      <w:tr>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Produção (Exec/Coord/DP)</w:t>
            </w:r>
          </w:p>
        </w:tc>
        <w:tc>
          <w:tcPr>
            <w:tcW w:type="dxa" w:w="11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1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1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11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11</w:t>
            </w:r>
          </w:p>
        </w:tc>
      </w:tr>
      <w:tr>
        <w:tc>
          <w:tcPr>
            <w:tcW w:type="dxa" w:w="3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Direção / Ass. Direção</w:t>
            </w:r>
          </w:p>
        </w:tc>
        <w:tc>
          <w:tcPr>
            <w:tcW w:type="dxa" w:w="11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1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11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11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r>
      <w:tr>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Roteiro / Direção criativa</w:t>
            </w:r>
          </w:p>
        </w:tc>
        <w:tc>
          <w:tcPr>
            <w:tcW w:type="dxa" w:w="11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11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1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11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r>
      <w:tr>
        <w:tc>
          <w:tcPr>
            <w:tcW w:type="dxa" w:w="3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Pós-produção</w:t>
            </w:r>
          </w:p>
        </w:tc>
        <w:tc>
          <w:tcPr>
            <w:tcW w:type="dxa" w:w="11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1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1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1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w:t>
            </w:r>
          </w:p>
        </w:tc>
      </w:tr>
      <w:tr>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11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1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w:t>
            </w:r>
          </w:p>
        </w:tc>
        <w:tc>
          <w:tcPr>
            <w:tcW w:type="dxa" w:w="11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11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w:t>
            </w:r>
          </w:p>
        </w:tc>
      </w:tr>
    </w:tbl>
    <w:p>
      <w:pPr>
        <w:pStyle w:val="Heading3"/>
        <w:spacing w:after="120" w:before="200"/>
      </w:pPr>
      <w:r>
        <w:rPr>
          <w:rFonts w:ascii="Arial" w:cs="Arial" w:eastAsia="Arial" w:hAnsi="Arial"/>
          <w:b/>
          <w:bCs/>
          <w:color w:val="1F3864"/>
          <w:sz w:val="22"/>
          <w:szCs w:val="22"/>
        </w:rPr>
        <w:t xml:space="preserve">6.2 Stack tradicional × Ruído alto</w:t>
      </w:r>
    </w:p>
    <w:p>
      <w:pPr>
        <w:spacing w:after="120" w:before="0"/>
        <w:jc w:val="left"/>
      </w:pPr>
      <w:r>
        <w:rPr>
          <w:rFonts w:ascii="Arial" w:cs="Arial" w:eastAsia="Arial" w:hAnsi="Arial"/>
          <w:b w:val="false"/>
          <w:bCs w:val="false"/>
          <w:i w:val="false"/>
          <w:iCs w:val="false"/>
          <w:color w:val="000000"/>
          <w:sz w:val="22"/>
          <w:szCs w:val="22"/>
        </w:rPr>
        <w:t xml:space="preserve">Quem usa apenas a stack tradicional (WhatsApp + Sheets + Drive, sem nenhuma ferramenta dedicada) reporta ruído alto (notas 4 e 5) em 46,7% dos casos. Já quem usa alguma ferramenta dedicada (Notion, Trello, Frame.io, Movie Magic ou Esferas) reporta ruído alto em apenas 14,3%. A diferença de 3,3× sugere que adotar qualquer camada de organização dedicada reduz substancialmente o ruído operacional.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rPr>
          <w:tblHeader/>
        </w:trPr>
        <w:tc>
          <w:tcPr>
            <w:tcW w:type="dxa" w:w="35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Stack usada</w:t>
            </w:r>
          </w:p>
        </w:tc>
        <w:tc>
          <w:tcPr>
            <w:tcW w:type="dxa" w:w="14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Ruído 1–3</w:t>
            </w:r>
          </w:p>
        </w:tc>
        <w:tc>
          <w:tcPr>
            <w:tcW w:type="dxa" w:w="14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Ruído 4–5</w:t>
            </w:r>
          </w:p>
        </w:tc>
        <w:tc>
          <w:tcPr>
            <w:tcW w:type="dxa" w:w="14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w:t>
            </w:r>
          </w:p>
        </w:tc>
        <w:tc>
          <w:tcPr>
            <w:tcW w:type="dxa" w:w="14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Ruído alto</w:t>
            </w:r>
          </w:p>
        </w:tc>
      </w:tr>
      <w:tr>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Stack genérica somente (WA + Sheets + Drive)</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15</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46,7%</w:t>
            </w:r>
          </w:p>
        </w:tc>
      </w:tr>
      <w:tr>
        <w:tc>
          <w:tcPr>
            <w:tcW w:type="dxa" w:w="3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Stack com alguma ferramenta dedicada</w:t>
            </w:r>
          </w:p>
        </w:tc>
        <w:tc>
          <w:tcPr>
            <w:tcW w:type="dxa" w:w="14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14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14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14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14,3%</w:t>
            </w:r>
          </w:p>
        </w:tc>
      </w:tr>
      <w:tr>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14</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36,4%</w:t>
            </w:r>
          </w:p>
        </w:tc>
      </w:tr>
    </w:tbl>
    <w:p>
      <w:pPr>
        <w:pStyle w:val="Heading3"/>
        <w:spacing w:after="120" w:before="200"/>
      </w:pPr>
      <w:r>
        <w:rPr>
          <w:rFonts w:ascii="Arial" w:cs="Arial" w:eastAsia="Arial" w:hAnsi="Arial"/>
          <w:b/>
          <w:bCs/>
          <w:color w:val="1F3864"/>
          <w:sz w:val="22"/>
          <w:szCs w:val="22"/>
        </w:rPr>
        <w:t xml:space="preserve">6.3 Atuação em Longas+Séries × Impacto percebido</w:t>
      </w:r>
    </w:p>
    <w:p>
      <w:pPr>
        <w:spacing w:after="120" w:before="0"/>
        <w:jc w:val="left"/>
      </w:pPr>
      <w:r>
        <w:rPr>
          <w:rFonts w:ascii="Arial" w:cs="Arial" w:eastAsia="Arial" w:hAnsi="Arial"/>
          <w:b w:val="false"/>
          <w:bCs w:val="false"/>
          <w:i w:val="false"/>
          <w:iCs w:val="false"/>
          <w:color w:val="000000"/>
          <w:sz w:val="22"/>
          <w:szCs w:val="22"/>
        </w:rPr>
        <w:t xml:space="preserve">Os 11 respondentes que atuam simultaneamente em Longas e Séries percebem impacto alto em 54,5% dos casos, contra 36% nos demais. Esse perfil concentra naturalmente projetos longos, com equipes grandes e maior complexidade de prestação de contas — confirmando a hipótese de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rPr>
          <w:tblHeader/>
        </w:trPr>
        <w:tc>
          <w:tcPr>
            <w:tcW w:type="dxa" w:w="356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Atua em Longas E Séries?</w:t>
            </w:r>
          </w:p>
        </w:tc>
        <w:tc>
          <w:tcPr>
            <w:tcW w:type="dxa" w:w="14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Impacto Alto</w:t>
            </w:r>
          </w:p>
        </w:tc>
        <w:tc>
          <w:tcPr>
            <w:tcW w:type="dxa" w:w="14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Impacto Moderado</w:t>
            </w:r>
          </w:p>
        </w:tc>
        <w:tc>
          <w:tcPr>
            <w:tcW w:type="dxa" w:w="14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w:t>
            </w:r>
          </w:p>
        </w:tc>
        <w:tc>
          <w:tcPr>
            <w:tcW w:type="dxa" w:w="145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Alto</w:t>
            </w:r>
          </w:p>
        </w:tc>
      </w:tr>
      <w:tr>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Sim</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11</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54,5%</w:t>
            </w:r>
          </w:p>
        </w:tc>
      </w:tr>
      <w:tr>
        <w:tc>
          <w:tcPr>
            <w:tcW w:type="dxa" w:w="3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Não</w:t>
            </w:r>
          </w:p>
        </w:tc>
        <w:tc>
          <w:tcPr>
            <w:tcW w:type="dxa" w:w="14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14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14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11</w:t>
            </w:r>
          </w:p>
        </w:tc>
        <w:tc>
          <w:tcPr>
            <w:tcW w:type="dxa" w:w="145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36,4%</w:t>
            </w:r>
          </w:p>
        </w:tc>
      </w:tr>
      <w:tr>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12</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22</w:t>
            </w:r>
          </w:p>
        </w:tc>
        <w:tc>
          <w:tcPr>
            <w:tcW w:type="dxa" w:w="145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45,5%</w:t>
            </w:r>
          </w:p>
        </w:tc>
      </w:tr>
    </w:tbl>
    <w:p>
      <w:pPr>
        <w:pStyle w:val="Heading1"/>
        <w:spacing w:after="200" w:before="360"/>
      </w:pPr>
      <w:r>
        <w:rPr>
          <w:rFonts w:ascii="Arial" w:cs="Arial" w:eastAsia="Arial" w:hAnsi="Arial"/>
          <w:b/>
          <w:bCs/>
          <w:color w:val="1F3864"/>
          <w:sz w:val="32"/>
          <w:szCs w:val="32"/>
        </w:rPr>
        <w:t xml:space="preserve">7. Insights para o MVP CINEFLOW</w:t>
      </w:r>
    </w:p>
    <w:p>
      <w:pPr>
        <w:spacing w:after="120" w:before="0"/>
        <w:jc w:val="left"/>
      </w:pPr>
      <w:r>
        <w:rPr>
          <w:rFonts w:ascii="Arial" w:cs="Arial" w:eastAsia="Arial" w:hAnsi="Arial"/>
          <w:b w:val="false"/>
          <w:bCs w:val="false"/>
          <w:i w:val="false"/>
          <w:iCs w:val="false"/>
          <w:color w:val="000000"/>
          <w:sz w:val="22"/>
          <w:szCs w:val="22"/>
        </w:rPr>
        <w:t xml:space="preserve">Esta seção conecta os achados quantitativos com as hipóteses estratégicas do produto, traduzindo dados em recomendações práticas para a trilha do Porto Digital.</w:t>
      </w:r>
    </w:p>
    <w:p>
      <w:pPr>
        <w:pStyle w:val="Heading3"/>
        <w:spacing w:after="120" w:before="200"/>
      </w:pPr>
      <w:r>
        <w:rPr>
          <w:rFonts w:ascii="Arial" w:cs="Arial" w:eastAsia="Arial" w:hAnsi="Arial"/>
          <w:b/>
          <w:bCs/>
          <w:color w:val="1F3864"/>
          <w:sz w:val="22"/>
          <w:szCs w:val="22"/>
        </w:rPr>
        <w:t xml:space="preserve">H1. Existe Problem-Solution Fit</w:t>
      </w:r>
    </w:p>
    <w:p>
      <w:pPr>
        <w:spacing w:after="120" w:before="0"/>
        <w:jc w:val="left"/>
      </w:pPr>
      <w:r>
        <w:rPr>
          <w:rFonts w:ascii="Arial" w:cs="Arial" w:eastAsia="Arial" w:hAnsi="Arial"/>
          <w:b w:val="false"/>
          <w:bCs w:val="false"/>
          <w:i w:val="false"/>
          <w:iCs w:val="false"/>
          <w:color w:val="000000"/>
          <w:sz w:val="22"/>
          <w:szCs w:val="22"/>
        </w:rPr>
        <w:t xml:space="preserve">Status: validada. 72,7% perdem 5h+/semana, 36,4% tiveram prejuízos em prestação de contas e 100% reconhecem valor da proposta. Recomendação: avançar para Solution Validation com as 16 entrevistas qualitativas disponíveis.</w:t>
      </w:r>
    </w:p>
    <w:p>
      <w:pPr>
        <w:pStyle w:val="Heading3"/>
        <w:spacing w:after="120" w:before="200"/>
      </w:pPr>
      <w:r>
        <w:rPr>
          <w:rFonts w:ascii="Arial" w:cs="Arial" w:eastAsia="Arial" w:hAnsi="Arial"/>
          <w:b/>
          <w:bCs/>
          <w:color w:val="1F3864"/>
          <w:sz w:val="22"/>
          <w:szCs w:val="22"/>
        </w:rPr>
        <w:t xml:space="preserve">H2. ICP inicial: Produtor Executivo de LTDA atuando em Longas/Séries</w:t>
      </w:r>
    </w:p>
    <w:p>
      <w:pPr>
        <w:spacing w:after="120" w:before="0"/>
        <w:jc w:val="left"/>
      </w:pPr>
      <w:r>
        <w:rPr>
          <w:rFonts w:ascii="Arial" w:cs="Arial" w:eastAsia="Arial" w:hAnsi="Arial"/>
          <w:b w:val="false"/>
          <w:bCs w:val="false"/>
          <w:i w:val="false"/>
          <w:iCs w:val="false"/>
          <w:color w:val="000000"/>
          <w:sz w:val="22"/>
          <w:szCs w:val="22"/>
        </w:rPr>
        <w:t xml:space="preserve">Status: validada. Esse perfil concentra simultaneamente maior tempo desperdiçado, maior incidência de prejuízos e maior impacto percebido. Recomendação: definir ICP com esse cluster e priorizar discovery, prototipagem e plano de monetização nele.</w:t>
      </w:r>
    </w:p>
    <w:p>
      <w:pPr>
        <w:pStyle w:val="Heading3"/>
        <w:spacing w:after="120" w:before="200"/>
      </w:pPr>
      <w:r>
        <w:rPr>
          <w:rFonts w:ascii="Arial" w:cs="Arial" w:eastAsia="Arial" w:hAnsi="Arial"/>
          <w:b/>
          <w:bCs/>
          <w:color w:val="1F3864"/>
          <w:sz w:val="22"/>
          <w:szCs w:val="22"/>
        </w:rPr>
        <w:t xml:space="preserve">H3. Prestação de contas é dor importante (não só cronograma)</w:t>
      </w:r>
    </w:p>
    <w:p>
      <w:pPr>
        <w:spacing w:after="120" w:before="0"/>
        <w:jc w:val="left"/>
      </w:pPr>
      <w:r>
        <w:rPr>
          <w:rFonts w:ascii="Arial" w:cs="Arial" w:eastAsia="Arial" w:hAnsi="Arial"/>
          <w:b w:val="false"/>
          <w:bCs w:val="false"/>
          <w:i w:val="false"/>
          <w:iCs w:val="false"/>
          <w:color w:val="000000"/>
          <w:sz w:val="22"/>
          <w:szCs w:val="22"/>
        </w:rPr>
        <w:t xml:space="preserve">Status: validada parcialmente. A dor é real mas mais latente que o ruído de comunicação. Recomendação: posicionar prestação de contas como diferencial competitivo (não há concorrente direto), mas começar a entrega pelo módulo mais tangível e frequentemente citado: a Ordem do Dia interativa.</w:t>
      </w:r>
    </w:p>
    <w:p>
      <w:pPr>
        <w:pStyle w:val="Heading3"/>
        <w:spacing w:after="120" w:before="200"/>
      </w:pPr>
      <w:r>
        <w:rPr>
          <w:rFonts w:ascii="Arial" w:cs="Arial" w:eastAsia="Arial" w:hAnsi="Arial"/>
          <w:b/>
          <w:bCs/>
          <w:color w:val="1F3864"/>
          <w:sz w:val="22"/>
          <w:szCs w:val="22"/>
        </w:rPr>
        <w:t xml:space="preserve">H4. Stack tradicional é dominante e gera ruído</w:t>
      </w:r>
    </w:p>
    <w:p>
      <w:pPr>
        <w:spacing w:after="120" w:before="0"/>
        <w:jc w:val="left"/>
      </w:pPr>
      <w:r>
        <w:rPr>
          <w:rFonts w:ascii="Arial" w:cs="Arial" w:eastAsia="Arial" w:hAnsi="Arial"/>
          <w:b w:val="false"/>
          <w:bCs w:val="false"/>
          <w:i w:val="false"/>
          <w:iCs w:val="false"/>
          <w:color w:val="000000"/>
          <w:sz w:val="22"/>
          <w:szCs w:val="22"/>
        </w:rPr>
        <w:t xml:space="preserve">Status: validada. 95,5% usam WhatsApp; quem usa apenas stack genérica reporta ruído alto 3,3× mais. Recomendação: posicionamento de marketing deve atacar a dor da “gestão por WhatsApp”; integração nativa com WhatsApp pode ser vetor de aquisição.</w:t>
      </w:r>
    </w:p>
    <w:p>
      <w:pPr>
        <w:pStyle w:val="Heading3"/>
        <w:spacing w:after="120" w:before="200"/>
      </w:pPr>
      <w:r>
        <w:rPr>
          <w:rFonts w:ascii="Arial" w:cs="Arial" w:eastAsia="Arial" w:hAnsi="Arial"/>
          <w:b/>
          <w:bCs/>
          <w:color w:val="1F3864"/>
          <w:sz w:val="22"/>
          <w:szCs w:val="22"/>
        </w:rPr>
        <w:t xml:space="preserve">H5. Disposição para mudança e para pagar pela solução</w:t>
      </w:r>
    </w:p>
    <w:p>
      <w:pPr>
        <w:spacing w:after="120" w:before="0"/>
        <w:jc w:val="left"/>
      </w:pPr>
      <w:r>
        <w:rPr>
          <w:rFonts w:ascii="Arial" w:cs="Arial" w:eastAsia="Arial" w:hAnsi="Arial"/>
          <w:b w:val="false"/>
          <w:bCs w:val="false"/>
          <w:i w:val="false"/>
          <w:iCs w:val="false"/>
          <w:color w:val="000000"/>
          <w:sz w:val="22"/>
          <w:szCs w:val="22"/>
        </w:rPr>
        <w:t xml:space="preserve">Status: indícios positivos (willingness-to-pay ainda não testado). 72,7% aceitam entrevista; ninguém disse “não preciso”. Recomendação: incluir teste de WTP nas próximas entrevistas qualitativas (cobrança hipotética por faixas).</w:t>
      </w:r>
    </w:p>
    <w:p>
      <w:pPr>
        <w:pStyle w:val="Heading3"/>
        <w:spacing w:after="120" w:before="200"/>
      </w:pPr>
      <w:r>
        <w:rPr>
          <w:rFonts w:ascii="Arial" w:cs="Arial" w:eastAsia="Arial" w:hAnsi="Arial"/>
          <w:b/>
          <w:bCs/>
          <w:color w:val="1F3864"/>
          <w:sz w:val="22"/>
          <w:szCs w:val="22"/>
        </w:rPr>
        <w:t xml:space="preserve">H6. Praça-piloto regional viável</w:t>
      </w:r>
    </w:p>
    <w:p>
      <w:pPr>
        <w:spacing w:after="120" w:before="0"/>
        <w:jc w:val="left"/>
      </w:pPr>
      <w:r>
        <w:rPr>
          <w:rFonts w:ascii="Arial" w:cs="Arial" w:eastAsia="Arial" w:hAnsi="Arial"/>
          <w:b w:val="false"/>
          <w:bCs w:val="false"/>
          <w:i w:val="false"/>
          <w:iCs w:val="false"/>
          <w:color w:val="000000"/>
          <w:sz w:val="22"/>
          <w:szCs w:val="22"/>
        </w:rPr>
        <w:t xml:space="preserve">Status: validada. 63,6% no Nordeste cria base natural; 22,7% no Sudeste cria ponte. Recomendação: Recife/Nordeste como praça-piloto, com Porto Digital como vitrine institucional e canal.</w:t>
      </w:r>
    </w:p>
    <w:p>
      <w:pPr>
        <w:pStyle w:val="Heading1"/>
        <w:spacing w:after="200" w:before="360"/>
      </w:pPr>
      <w:r>
        <w:rPr>
          <w:rFonts w:ascii="Arial" w:cs="Arial" w:eastAsia="Arial" w:hAnsi="Arial"/>
          <w:b/>
          <w:bCs/>
          <w:color w:val="1F3864"/>
          <w:sz w:val="32"/>
          <w:szCs w:val="32"/>
        </w:rPr>
        <w:t xml:space="preserve">8. Próximos passos para a Trilha Porto Digital</w:t>
      </w:r>
    </w:p>
    <w:p>
      <w:pPr>
        <w:pStyle w:val="ListParagraph"/>
        <w:numPr>
          <w:ilvl w:val="0"/>
          <w:numId w:val="3"/>
        </w:numPr>
        <w:spacing w:after="100"/>
      </w:pPr>
      <w:r>
        <w:rPr>
          <w:rFonts w:ascii="Arial" w:cs="Arial" w:eastAsia="Arial" w:hAnsi="Arial"/>
          <w:b/>
          <w:bCs/>
          <w:sz w:val="22"/>
          <w:szCs w:val="22"/>
        </w:rPr>
        <w:t xml:space="preserve">Discovery qualitativo aprofundado</w:t>
      </w:r>
      <w:r>
        <w:rPr>
          <w:rFonts w:ascii="Arial" w:cs="Arial" w:eastAsia="Arial" w:hAnsi="Arial"/>
          <w:sz w:val="22"/>
          <w:szCs w:val="22"/>
        </w:rPr>
        <w:t xml:space="preserve"> — Agendar e executar as 16 entrevistas qualitativas (lista priorizada na aba “Discovery_Lista” da planilha anexa), com foco em mapear a jornada do dia de filmagem e testar willingness-to-pay.</w:t>
      </w:r>
    </w:p>
    <w:p>
      <w:pPr>
        <w:pStyle w:val="ListParagraph"/>
        <w:numPr>
          <w:ilvl w:val="0"/>
          <w:numId w:val="3"/>
        </w:numPr>
        <w:spacing w:after="100"/>
      </w:pPr>
      <w:r>
        <w:rPr>
          <w:rFonts w:ascii="Arial" w:cs="Arial" w:eastAsia="Arial" w:hAnsi="Arial"/>
          <w:b/>
          <w:bCs/>
          <w:sz w:val="22"/>
          <w:szCs w:val="22"/>
        </w:rPr>
        <w:t xml:space="preserve">Segundo round da pesquisa quantitativa</w:t>
      </w:r>
      <w:r>
        <w:rPr>
          <w:rFonts w:ascii="Arial" w:cs="Arial" w:eastAsia="Arial" w:hAnsi="Arial"/>
          <w:sz w:val="22"/>
          <w:szCs w:val="22"/>
        </w:rPr>
        <w:t xml:space="preserve"> — Ampliar a amostra com respondentes do Sudeste e Sul; meta de 60+ respostas balanceadas por região e porte de produtora.</w:t>
      </w:r>
    </w:p>
    <w:p>
      <w:pPr>
        <w:pStyle w:val="ListParagraph"/>
        <w:numPr>
          <w:ilvl w:val="0"/>
          <w:numId w:val="3"/>
        </w:numPr>
        <w:spacing w:after="100"/>
      </w:pPr>
      <w:r>
        <w:rPr>
          <w:rFonts w:ascii="Arial" w:cs="Arial" w:eastAsia="Arial" w:hAnsi="Arial"/>
          <w:b/>
          <w:bCs/>
          <w:sz w:val="22"/>
          <w:szCs w:val="22"/>
        </w:rPr>
        <w:t xml:space="preserve">Protótipo do módulo Ordem do Dia</w:t>
      </w:r>
      <w:r>
        <w:rPr>
          <w:rFonts w:ascii="Arial" w:cs="Arial" w:eastAsia="Arial" w:hAnsi="Arial"/>
          <w:sz w:val="22"/>
          <w:szCs w:val="22"/>
        </w:rPr>
        <w:t xml:space="preserve"> — Construir e validar com 5–7 produtores executivos um protótipo de baixa fidelidade do módulo Ordem do Dia interativa.</w:t>
      </w:r>
    </w:p>
    <w:p>
      <w:pPr>
        <w:pStyle w:val="ListParagraph"/>
        <w:numPr>
          <w:ilvl w:val="0"/>
          <w:numId w:val="3"/>
        </w:numPr>
        <w:spacing w:after="100"/>
      </w:pPr>
      <w:r>
        <w:rPr>
          <w:rFonts w:ascii="Arial" w:cs="Arial" w:eastAsia="Arial" w:hAnsi="Arial"/>
          <w:b/>
          <w:bCs/>
          <w:sz w:val="22"/>
          <w:szCs w:val="22"/>
        </w:rPr>
        <w:t xml:space="preserve">Co-criação com design partners</w:t>
      </w:r>
      <w:r>
        <w:rPr>
          <w:rFonts w:ascii="Arial" w:cs="Arial" w:eastAsia="Arial" w:hAnsi="Arial"/>
          <w:sz w:val="22"/>
          <w:szCs w:val="22"/>
        </w:rPr>
        <w:t xml:space="preserve"> — Convidar 3–5 respondentes que combinam “impacto alto + aceita entrevista + LTDA + Longas/Séries” para participar como design partners durante a pré-incubação.</w:t>
      </w:r>
    </w:p>
    <w:p>
      <w:pPr>
        <w:pStyle w:val="ListParagraph"/>
        <w:numPr>
          <w:ilvl w:val="0"/>
          <w:numId w:val="3"/>
        </w:numPr>
        <w:spacing w:after="100"/>
      </w:pPr>
      <w:r>
        <w:rPr>
          <w:rFonts w:ascii="Arial" w:cs="Arial" w:eastAsia="Arial" w:hAnsi="Arial"/>
          <w:b/>
          <w:bCs/>
          <w:sz w:val="22"/>
          <w:szCs w:val="22"/>
        </w:rPr>
        <w:t xml:space="preserve">Plano de monetização (esboço)</w:t>
      </w:r>
      <w:r>
        <w:rPr>
          <w:rFonts w:ascii="Arial" w:cs="Arial" w:eastAsia="Arial" w:hAnsi="Arial"/>
          <w:sz w:val="22"/>
          <w:szCs w:val="22"/>
        </w:rPr>
        <w:t xml:space="preserve"> — Testar três faixas de planos: individual MEI/freelancer (~R$ 39/mês), produtora pequena LTDA até 5 projetos simultâneos (~R$ 199/mês) e enterprise para 10+ projetos.</w:t>
      </w:r>
    </w:p>
    <w:p>
      <w:pPr>
        <w:pStyle w:val="ListParagraph"/>
        <w:numPr>
          <w:ilvl w:val="0"/>
          <w:numId w:val="3"/>
        </w:numPr>
        <w:spacing w:after="100"/>
      </w:pPr>
      <w:r>
        <w:rPr>
          <w:rFonts w:ascii="Arial" w:cs="Arial" w:eastAsia="Arial" w:hAnsi="Arial"/>
          <w:b/>
          <w:bCs/>
          <w:sz w:val="22"/>
          <w:szCs w:val="22"/>
        </w:rPr>
        <w:t xml:space="preserve">Estratégia regional + Porto Digital</w:t>
      </w:r>
      <w:r>
        <w:rPr>
          <w:rFonts w:ascii="Arial" w:cs="Arial" w:eastAsia="Arial" w:hAnsi="Arial"/>
          <w:sz w:val="22"/>
          <w:szCs w:val="22"/>
        </w:rPr>
        <w:t xml:space="preserve"> — Usar o Porto Digital como vitrine institucional e canal de pilotos; explorar parcerias com ABPI-TV, SIAESP e APACI-PE para alcançar produtoras formalizadas.</w:t>
      </w:r>
    </w:p>
    <w:p>
      <w:pPr>
        <w:pStyle w:val="Heading1"/>
        <w:spacing w:after="200" w:before="360"/>
      </w:pPr>
      <w:r>
        <w:rPr>
          <w:rFonts w:ascii="Arial" w:cs="Arial" w:eastAsia="Arial" w:hAnsi="Arial"/>
          <w:b/>
          <w:bCs/>
          <w:color w:val="1F3864"/>
          <w:sz w:val="32"/>
          <w:szCs w:val="32"/>
        </w:rPr>
        <w:t xml:space="preserve">9. Anexos</w:t>
      </w:r>
    </w:p>
    <w:p>
      <w:pPr>
        <w:spacing w:after="120" w:before="0"/>
        <w:jc w:val="left"/>
      </w:pPr>
      <w:r>
        <w:rPr>
          <w:rFonts w:ascii="Arial" w:cs="Arial" w:eastAsia="Arial" w:hAnsi="Arial"/>
          <w:b w:val="false"/>
          <w:bCs w:val="false"/>
          <w:i w:val="false"/>
          <w:iCs w:val="false"/>
          <w:color w:val="000000"/>
          <w:sz w:val="22"/>
          <w:szCs w:val="22"/>
        </w:rPr>
        <w:t xml:space="preserve">A tabulação completa, com todas as frequências, cruzamentos detalhados, lista de discovery priorizada e análise qualitativa, está consolidada no arquivo Excel anexo: CINEFLOW_Tabulacao_Pesquisa.xlsx (10 abas, 132 fórmulas, 0 erros).</w:t>
      </w:r>
    </w:p>
    <w:p>
      <w:pPr>
        <w:pStyle w:val="ListParagraph"/>
        <w:numPr>
          <w:ilvl w:val="0"/>
          <w:numId w:val="2"/>
        </w:numPr>
        <w:spacing w:after="80"/>
      </w:pPr>
      <w:r>
        <w:rPr>
          <w:rFonts w:ascii="Arial" w:cs="Arial" w:eastAsia="Arial" w:hAnsi="Arial"/>
          <w:sz w:val="22"/>
          <w:szCs w:val="22"/>
        </w:rPr>
        <w:t xml:space="preserve">Aba “Resumo”: visão executiva e ficha técnica da pesquisa.</w:t>
      </w:r>
    </w:p>
    <w:p>
      <w:pPr>
        <w:pStyle w:val="ListParagraph"/>
        <w:numPr>
          <w:ilvl w:val="0"/>
          <w:numId w:val="2"/>
        </w:numPr>
        <w:spacing w:after="80"/>
      </w:pPr>
      <w:r>
        <w:rPr>
          <w:rFonts w:ascii="Arial" w:cs="Arial" w:eastAsia="Arial" w:hAnsi="Arial"/>
          <w:sz w:val="22"/>
          <w:szCs w:val="22"/>
        </w:rPr>
        <w:t xml:space="preserve">Aba “Dicionário”: descrição de cada variável.</w:t>
      </w:r>
    </w:p>
    <w:p>
      <w:pPr>
        <w:pStyle w:val="ListParagraph"/>
        <w:numPr>
          <w:ilvl w:val="0"/>
          <w:numId w:val="2"/>
        </w:numPr>
        <w:spacing w:after="80"/>
      </w:pPr>
      <w:r>
        <w:rPr>
          <w:rFonts w:ascii="Arial" w:cs="Arial" w:eastAsia="Arial" w:hAnsi="Arial"/>
          <w:sz w:val="22"/>
          <w:szCs w:val="22"/>
        </w:rPr>
        <w:t xml:space="preserve">Aba “Dados Brutos”: as 22 respostas completas.</w:t>
      </w:r>
    </w:p>
    <w:p>
      <w:pPr>
        <w:pStyle w:val="ListParagraph"/>
        <w:numPr>
          <w:ilvl w:val="0"/>
          <w:numId w:val="2"/>
        </w:numPr>
        <w:spacing w:after="80"/>
      </w:pPr>
      <w:r>
        <w:rPr>
          <w:rFonts w:ascii="Arial" w:cs="Arial" w:eastAsia="Arial" w:hAnsi="Arial"/>
          <w:sz w:val="22"/>
          <w:szCs w:val="22"/>
        </w:rPr>
        <w:t xml:space="preserve">Aba “Freq_Perfil”: frequências de função, região, enquadramento, porte e volume de projetos.</w:t>
      </w:r>
    </w:p>
    <w:p>
      <w:pPr>
        <w:pStyle w:val="ListParagraph"/>
        <w:numPr>
          <w:ilvl w:val="0"/>
          <w:numId w:val="2"/>
        </w:numPr>
        <w:spacing w:after="80"/>
      </w:pPr>
      <w:r>
        <w:rPr>
          <w:rFonts w:ascii="Arial" w:cs="Arial" w:eastAsia="Arial" w:hAnsi="Arial"/>
          <w:sz w:val="22"/>
          <w:szCs w:val="22"/>
        </w:rPr>
        <w:t xml:space="preserve">Aba “Freq_Dores”: frequências de ruído, prejuízos, gestão, tempo desperdiçado, impacto e entrevista.</w:t>
      </w:r>
    </w:p>
    <w:p>
      <w:pPr>
        <w:pStyle w:val="ListParagraph"/>
        <w:numPr>
          <w:ilvl w:val="0"/>
          <w:numId w:val="2"/>
        </w:numPr>
        <w:spacing w:after="80"/>
      </w:pPr>
      <w:r>
        <w:rPr>
          <w:rFonts w:ascii="Arial" w:cs="Arial" w:eastAsia="Arial" w:hAnsi="Arial"/>
          <w:sz w:val="22"/>
          <w:szCs w:val="22"/>
        </w:rPr>
        <w:t xml:space="preserve">Aba “Freq_Ferramentas”: adoção de cada ferramenta da stack atual.</w:t>
      </w:r>
    </w:p>
    <w:p>
      <w:pPr>
        <w:pStyle w:val="ListParagraph"/>
        <w:numPr>
          <w:ilvl w:val="0"/>
          <w:numId w:val="2"/>
        </w:numPr>
        <w:spacing w:after="80"/>
      </w:pPr>
      <w:r>
        <w:rPr>
          <w:rFonts w:ascii="Arial" w:cs="Arial" w:eastAsia="Arial" w:hAnsi="Arial"/>
          <w:sz w:val="22"/>
          <w:szCs w:val="22"/>
        </w:rPr>
        <w:t xml:space="preserve">Aba “Cruzamentos”: seis cruzamentos estratégicos com leitura interpretativa.</w:t>
      </w:r>
    </w:p>
    <w:p>
      <w:pPr>
        <w:pStyle w:val="ListParagraph"/>
        <w:numPr>
          <w:ilvl w:val="0"/>
          <w:numId w:val="2"/>
        </w:numPr>
        <w:spacing w:after="80"/>
      </w:pPr>
      <w:r>
        <w:rPr>
          <w:rFonts w:ascii="Arial" w:cs="Arial" w:eastAsia="Arial" w:hAnsi="Arial"/>
          <w:sz w:val="22"/>
          <w:szCs w:val="22"/>
        </w:rPr>
        <w:t xml:space="preserve">Aba “Qualitativa”: padrões observados nas respostas abertas e implicações para o produto.</w:t>
      </w:r>
    </w:p>
    <w:p>
      <w:pPr>
        <w:pStyle w:val="ListParagraph"/>
        <w:numPr>
          <w:ilvl w:val="0"/>
          <w:numId w:val="2"/>
        </w:numPr>
        <w:spacing w:after="80"/>
      </w:pPr>
      <w:r>
        <w:rPr>
          <w:rFonts w:ascii="Arial" w:cs="Arial" w:eastAsia="Arial" w:hAnsi="Arial"/>
          <w:sz w:val="22"/>
          <w:szCs w:val="22"/>
        </w:rPr>
        <w:t xml:space="preserve">Aba “Insights_MVP”: conexão dos dados com as hipóteses do produto e recomendações.</w:t>
      </w:r>
    </w:p>
    <w:p>
      <w:pPr>
        <w:pStyle w:val="ListParagraph"/>
        <w:numPr>
          <w:ilvl w:val="0"/>
          <w:numId w:val="2"/>
        </w:numPr>
        <w:spacing w:after="80"/>
      </w:pPr>
      <w:r>
        <w:rPr>
          <w:rFonts w:ascii="Arial" w:cs="Arial" w:eastAsia="Arial" w:hAnsi="Arial"/>
          <w:sz w:val="22"/>
          <w:szCs w:val="22"/>
        </w:rPr>
        <w:t xml:space="preserve">Aba “Discovery_Lista”: 16 entrevistas priorizadas (P1 a P3) para a próxima fase.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08080"/>
        <w:sz w:val="18"/>
        <w:szCs w:val="18"/>
      </w:rPr>
      <w:t xml:space="preserve">CINEFLOW — Tabulação da Pesquisa de Validação | Trilha Porto Digital</w:t>
    </w:r>
    <w:r>
      <w:t xml:space="preserve">	</w:t>
    </w:r>
    <w:r>
      <w:rPr>
        <w:rFonts w:ascii="Arial" w:cs="Arial" w:eastAsia="Arial" w:hAnsi="Arial"/>
        <w:color w:val="808080"/>
        <w:sz w:val="18"/>
        <w:szCs w:val="18"/>
      </w:rPr>
      <w:t xml:space="preserve">Página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Tabulação — Pesquisa Cineflow</dc:title>
  <dc:creator>Cineflow</dc:creator>
  <cp:lastModifiedBy>Un-named</cp:lastModifiedBy>
  <cp:revision>1</cp:revision>
  <dcterms:created xsi:type="dcterms:W3CDTF">2026-05-21T00:37:32.864Z</dcterms:created>
  <dcterms:modified xsi:type="dcterms:W3CDTF">2026-05-21T00:37:32.868Z</dcterms:modified>
</cp:coreProperties>
</file>

<file path=docProps/custom.xml><?xml version="1.0" encoding="utf-8"?>
<Properties xmlns="http://schemas.openxmlformats.org/officeDocument/2006/custom-properties" xmlns:vt="http://schemas.openxmlformats.org/officeDocument/2006/docPropsVTypes"/>
</file>