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ORÇAMENTO DE PRESTAÇÃO DE SERVIÇOS DE TRANSPORTE</w:t>
      </w:r>
    </w:p>
    <w:p>
      <w:pPr>
        <w:jc w:val="right"/>
      </w:pPr>
      <w:r>
        <w:rPr>
          <w:b/>
        </w:rPr>
        <w:t>N°. {{QuoteNumber}}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6803"/>
          </w:tcPr>
          <w:p>
            <w:r>
              <w:t>{{ClientName}}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CNPJ/CPF</w:t>
            </w:r>
          </w:p>
        </w:tc>
        <w:tc>
          <w:tcPr>
            <w:tcW w:type="dxa" w:w="6803"/>
          </w:tcPr>
          <w:p>
            <w:r>
              <w:t>{{ClientDocument}}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6803"/>
          </w:tcPr>
          <w:p>
            <w:r>
              <w:t>{{ClientAddress}}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803"/>
          </w:tcPr>
          <w:p>
            <w:r>
              <w:t>{{QuoteDate}}</w:t>
            </w:r>
          </w:p>
        </w:tc>
      </w:tr>
    </w:tbl>
    <w:p/>
    <w:p>
      <w:r>
        <w:rPr>
          <w:b/>
          <w:sz w:val="22"/>
        </w:rPr>
        <w:t>ITENS ORÇADOS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685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Qtd.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Valor Unit.</w:t>
            </w:r>
          </w:p>
        </w:tc>
        <w:tc>
          <w:tcPr>
            <w:tcW w:type="dxa" w:w="1701"/>
          </w:tcPr>
          <w:p>
            <w:r>
              <w:rPr>
                <w:b/>
              </w:rPr>
              <w:t>Desconto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3685"/>
          </w:tcPr>
          <w:p>
            <w:r>
              <w:t>{{ProductRows}}</w:t>
            </w:r>
          </w:p>
        </w:tc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</w:tcPr>
          <w:p>
            <w:r>
              <w:rPr>
                <w:b/>
              </w:rPr>
              <w:t>Valor Total</w:t>
            </w:r>
          </w:p>
        </w:tc>
        <w:tc>
          <w:tcPr>
            <w:tcW w:type="dxa" w:w="5102"/>
          </w:tcPr>
          <w:p>
            <w:r>
              <w:t>{{TotalPrice}}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Condição de Pagamento</w:t>
            </w:r>
          </w:p>
        </w:tc>
        <w:tc>
          <w:tcPr>
            <w:tcW w:type="dxa" w:w="5102"/>
          </w:tcPr>
          <w:p>
            <w:r>
              <w:t>{{PaymentCondition}}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5102"/>
          </w:tcPr>
          <w:p>
            <w:r>
              <w:t>{{PaymentMethod}}</w:t>
            </w:r>
          </w:p>
        </w:tc>
      </w:tr>
    </w:tbl>
    <w:p/>
    <w:p>
      <w:r>
        <w:rPr>
          <w:b/>
          <w:sz w:val="22"/>
        </w:rPr>
        <w:t>CONDIÇÕES GERAIS</w:t>
      </w:r>
    </w:p>
    <w:p>
      <w:pPr>
        <w:jc w:val="both"/>
      </w:pPr>
      <w:r>
        <w:rPr>
          <w:b w:val="0"/>
        </w:rPr>
        <w:t>1. Este orçamento tem validade de 10 (dez) dias corridos a partir da data de emissão.</w:t>
      </w:r>
    </w:p>
    <w:p>
      <w:pPr>
        <w:jc w:val="both"/>
      </w:pPr>
      <w:r>
        <w:rPr>
          <w:b w:val="0"/>
        </w:rPr>
        <w:t>2. Os valores apresentados poderão sofrer alterações em caso de mudança de roteiro, quilometragem, datas ou quantidade de passageiros informados na solicitação.</w:t>
      </w:r>
    </w:p>
    <w:p>
      <w:pPr>
        <w:jc w:val="both"/>
      </w:pPr>
      <w:r>
        <w:rPr>
          <w:b w:val="0"/>
        </w:rPr>
        <w:t>3. A confirmação do serviço está sujeita à disponibilidade de veículo e motorista na data solicitada, e será formalizada mediante assinatura de contrato e pagamento do sinal.</w:t>
      </w:r>
    </w:p>
    <w:p>
      <w:pPr>
        <w:jc w:val="both"/>
      </w:pPr>
      <w:r>
        <w:rPr>
          <w:b w:val="0"/>
        </w:rPr>
        <w:t>4. Despesas com pedágio, estacionamento, hospedagem e alimentação do(s) motorista(s), quando aplicável, não estão incluídas neste orçamento, salvo indicação em contrário.</w:t>
      </w:r>
    </w:p>
    <w:p>
      <w:pPr>
        <w:jc w:val="both"/>
      </w:pPr>
      <w:r>
        <w:rPr>
          <w:b w:val="0"/>
        </w:rPr>
        <w:t>5. Cancelamentos e alterações seguem as condições descritas no contrato de prestação de serviços firmado no momento da confirmação.</w:t>
      </w:r>
    </w:p>
    <w:p>
      <w:pPr>
        <w:jc w:val="both"/>
      </w:pPr>
      <w:r>
        <w:rPr>
          <w:b w:val="0"/>
        </w:rPr>
        <w:t>6. Dúvidas e informações adicionais podem ser tratadas diretamente com {{CompanyContactName}}, pelo telefone {{CompanyWhatsapp}}.</w:t>
      </w:r>
    </w:p>
    <w:p/>
    <w:p>
      <w:r>
        <w:t>{{SignatureBlock}}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