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05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06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07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08">
      <w:pPr>
        <w:ind w:left="1279.6062992125985" w:hanging="285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09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0A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B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0C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0D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0E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0F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10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11">
      <w:pPr>
        <w:ind w:left="709.6062992125985" w:hanging="420.00000000000006"/>
        <w:jc w:val="lef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12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13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14">
      <w:pPr>
        <w:ind w:left="1279.6062992125985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5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40"/>
        <w:gridCol w:w="5505"/>
        <w:gridCol w:w="615"/>
        <w:gridCol w:w="615"/>
        <w:gridCol w:w="615"/>
        <w:gridCol w:w="615"/>
        <w:tblGridChange w:id="0">
          <w:tblGrid>
            <w:gridCol w:w="540"/>
            <w:gridCol w:w="5505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Receber pedidos.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Gerar orçamento.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2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ind w:left="708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gráfico de produção mensal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controle de caixa e orçamento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capacidade de produção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Gerar comparações históricas de processo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produção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Estimar receita com base na sazonalidade histórica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Gerar relatórios dinâmicos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os orçamentos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carteira de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Organizar as demandas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Realizar a gestão de orçamentos não aprovados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Colorir listas de produção com base na complexidade e tempo de execução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Imprimir listas de produção e orçamentos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Assinar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Controlar orçamentos a serem renegociados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Controlar margem de negociação dos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receitas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despesas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atividades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tempo de processos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evolução do projeto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Comparar aceites de orçamentos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Analisar melhor valor a cobrar conforme perfil de aceitação dos clientes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entrada de produtos para envio a produção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produtos comprados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Gerir tempo de entrega dos produtos comprados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Estimar estoque de segurança para definir melhor momento de compra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rejeição de propostas para mensurar pontos de melhoria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Gerenciar recebimento dos clientes.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 Gerenciar pagamentos dos fornecedores.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ind w:left="708" w:firstLine="0"/>
              <w:rPr/>
            </w:pPr>
            <w:r w:rsidDel="00000000" w:rsidR="00000000" w:rsidRPr="00000000">
              <w:rPr>
                <w:rtl w:val="0"/>
              </w:rPr>
              <w:t xml:space="preserve">Acesso a lista de serviços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E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8HTr9ohN05yvQIBkLZecL0MNw==">AMUW2mVj9uMHpdud84Picqua9AKdqGTUBkccyEOWX0sZmoJfN9Qe2rPuf4vpNOJYzdjOq845yiQW7UjPuxBJ5vwEpQcgvNNQYDddKhWKis48Nh60w7xgtKVOVogmn816wp9V6AAUuPYh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