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読み取りの検証用文書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―包まれた要素を読み落とさない―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五郎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１．包まれた表の行とセル</w:t>
      </w:r>
    </w:p>
    <w:p>
      <w:pPr>
        <w:pStyle w:val="af5"/>
      </w:pPr>
      <w:r>
        <w:t>試験（2023）にならい，行やセルがコンテンツコントロールなどに包まれた表を表1，表2，表3，表4に示す。</w:t>
      </w:r>
    </w:p>
    <w:p>
      <w:pPr>
        <w:pStyle w:val="affb"/>
      </w:pPr>
      <w:r>
        <w:t>表1　コンテンツコントロールに包んだ行</w:t>
      </w:r>
    </w:p>
    <w:tbl>
      <w:tblPr>
        <w:tblStyle w:val="a5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区分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内容</w:t>
            </w:r>
          </w:p>
        </w:tc>
      </w:tr>
      <w:tr>
        <w:tc>
          <w:tcPr>
            <w:tcW w:w="2000" w:type="dxa"/>
          </w:tcPr>
          <w:p>
            <w:pPr>
              <w:pStyle w:val="af5"/>
            </w:pPr>
            <w:r>
              <w:t>前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SDTの行の前</w:t>
            </w:r>
          </w:p>
        </w:tc>
      </w:tr>
      <w:sdt>
        <w:sdtPr/>
        <w:sdtContent>
          <w:tr>
            <w:tc>
              <w:tcPr>
                <w:tcW w:w="2000" w:type="dxa"/>
              </w:tcPr>
              <w:p>
                <w:pPr>
                  <w:pStyle w:val="af5"/>
                </w:pPr>
                <w:r>
                  <w:t>包んだ行</w:t>
                </w:r>
              </w:p>
            </w:tc>
            <w:tc>
              <w:tcPr>
                <w:tcW w:w="2000" w:type="dxa"/>
              </w:tcPr>
              <w:p>
                <w:pPr>
                  <w:pStyle w:val="af5"/>
                </w:pPr>
                <w:r>
                  <w:t>SDTで包んだ行</w:t>
                </w:r>
              </w:p>
            </w:tc>
          </w:tr>
        </w:sdtContent>
      </w:sdt>
      <w:tr>
        <w:tc>
          <w:tcPr>
            <w:tcW w:w="2000" w:type="dxa"/>
          </w:tcPr>
          <w:p>
            <w:pPr>
              <w:pStyle w:val="af5"/>
            </w:pPr>
            <w:r>
              <w:t>後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SDTの行の後</w:t>
            </w:r>
          </w:p>
        </w:tc>
      </w:tr>
    </w:tbl>
    <w:p>
      <w:pPr>
        <w:pStyle w:val="affb"/>
      </w:pPr>
      <w:r>
        <w:t>表2　カスタムXMLに包んだ行</w:t>
      </w:r>
    </w:p>
    <w:tbl>
      <w:tblPr>
        <w:tblStyle w:val="a5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区分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内容</w:t>
            </w:r>
          </w:p>
        </w:tc>
      </w:tr>
      <w:tr>
        <w:tc>
          <w:tcPr>
            <w:tcW w:w="2000" w:type="dxa"/>
          </w:tcPr>
          <w:p>
            <w:pPr>
              <w:pStyle w:val="af5"/>
            </w:pPr>
            <w:r>
              <w:t>前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XMLの行の前</w:t>
            </w:r>
          </w:p>
        </w:tc>
      </w:tr>
      <w:customXml w:element="row">
        <w:tr>
          <w:tc>
            <w:tcPr>
              <w:tcW w:w="2000" w:type="dxa"/>
            </w:tcPr>
            <w:p>
              <w:pPr>
                <w:pStyle w:val="af5"/>
              </w:pPr>
              <w:r>
                <w:t>包んだ行</w:t>
              </w:r>
            </w:p>
          </w:tc>
          <w:tc>
            <w:tcPr>
              <w:tcW w:w="2000" w:type="dxa"/>
            </w:tcPr>
            <w:p>
              <w:pPr>
                <w:pStyle w:val="af5"/>
              </w:pPr>
              <w:r>
                <w:t>XMLで包んだ行</w:t>
              </w:r>
            </w:p>
          </w:tc>
        </w:tr>
      </w:customXml>
      <w:tr>
        <w:tc>
          <w:tcPr>
            <w:tcW w:w="2000" w:type="dxa"/>
          </w:tcPr>
          <w:p>
            <w:pPr>
              <w:pStyle w:val="af5"/>
            </w:pPr>
            <w:r>
              <w:t>後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XMLの行の後</w:t>
            </w:r>
          </w:p>
        </w:tc>
      </w:tr>
    </w:tbl>
    <w:p>
      <w:pPr>
        <w:pStyle w:val="affb"/>
      </w:pPr>
      <w:r>
        <w:t>表3　カスタムXMLとコンテンツコントロールに包んだセル</w:t>
      </w:r>
    </w:p>
    <w:tbl>
      <w:tblPr>
        <w:tblStyle w:val="a5"/>
        <w:tblW w:w="0" w:type="auto"/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左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中1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中2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右</w:t>
            </w:r>
          </w:p>
        </w:tc>
      </w:tr>
      <w:tr>
        <w:tc>
          <w:tcPr>
            <w:tcW w:w="2000" w:type="dxa"/>
          </w:tcPr>
          <w:p>
            <w:pPr>
              <w:pStyle w:val="af5"/>
            </w:pPr>
            <w:r>
              <w:t>セルの左</w:t>
            </w:r>
          </w:p>
        </w:tc>
        <w:customXml w:element="cell">
          <w:tc>
            <w:tcPr>
              <w:tcW w:w="2000" w:type="dxa"/>
            </w:tcPr>
            <w:p>
              <w:pPr>
                <w:pStyle w:val="af5"/>
              </w:pPr>
              <w:r>
                <w:t>XMLで包んだセル</w:t>
              </w:r>
            </w:p>
          </w:tc>
        </w:customXml>
        <w:sdt>
          <w:sdtPr/>
          <w:sdtContent>
            <w:tc>
              <w:tcPr>
                <w:tcW w:w="2000" w:type="dxa"/>
              </w:tcPr>
              <w:p>
                <w:pPr>
                  <w:pStyle w:val="af5"/>
                </w:pPr>
                <w:r>
                  <w:t>SDTで包んだセル</w:t>
                </w:r>
              </w:p>
            </w:tc>
          </w:sdtContent>
        </w:sdt>
        <w:tc>
          <w:tcPr>
            <w:tcW w:w="2000" w:type="dxa"/>
          </w:tcPr>
          <w:p>
            <w:pPr>
              <w:pStyle w:val="af5"/>
            </w:pPr>
            <w:r>
              <w:t>セルの右</w:t>
            </w:r>
          </w:p>
        </w:tc>
      </w:tr>
    </w:tbl>
    <w:p>
      <w:pPr>
        <w:pStyle w:val="affb"/>
      </w:pPr>
      <w:r>
        <w:t>表4　入れ子のコンテンツコントロールに包んだ行</w:t>
      </w:r>
    </w:p>
    <w:tbl>
      <w:tblPr>
        <w:tblStyle w:val="a5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区分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内容</w:t>
            </w:r>
          </w:p>
        </w:tc>
      </w:tr>
      <w:sdt>
        <w:sdtPr/>
        <w:sdtContent>
          <w:sdt>
            <w:sdtPr/>
            <w:sdtContent>
              <w:tr>
                <w:tc>
                  <w:tcPr>
                    <w:tcW w:w="2000" w:type="dxa"/>
                  </w:tcPr>
                  <w:p>
                    <w:pPr>
                      <w:pStyle w:val="af5"/>
                    </w:pPr>
                    <w:r>
                      <w:t>入れ子1</w:t>
                    </w:r>
                  </w:p>
                </w:tc>
                <w:tc>
                  <w:tcPr>
                    <w:tcW w:w="2000" w:type="dxa"/>
                  </w:tcPr>
                  <w:p>
                    <w:pPr>
                      <w:pStyle w:val="af5"/>
                    </w:pPr>
                    <w:r>
                      <w:t>入れ子のSDTの1行目</w:t>
                    </w:r>
                  </w:p>
                </w:tc>
              </w:tr>
            </w:sdtContent>
          </w:sdt>
          <w:sdt>
            <w:sdtPr/>
            <w:sdtContent>
              <w:tr>
                <w:tc>
                  <w:tcPr>
                    <w:tcW w:w="2000" w:type="dxa"/>
                  </w:tcPr>
                  <w:p>
                    <w:pPr>
                      <w:pStyle w:val="af5"/>
                    </w:pPr>
                    <w:r>
                      <w:t>入れ子2</w:t>
                    </w:r>
                  </w:p>
                </w:tc>
                <w:tc>
                  <w:tcPr>
                    <w:tcW w:w="2000" w:type="dxa"/>
                  </w:tcPr>
                  <w:p>
                    <w:pPr>
                      <w:pStyle w:val="af5"/>
                    </w:pPr>
                    <w:r>
                      <w:t>入れ子のSDTの2行目</w:t>
                    </w:r>
                  </w:p>
                </w:tc>
              </w:tr>
            </w:sdtContent>
          </w:sdt>
        </w:sdtContent>
      </w:sdt>
      <w:sdt>
        <w:sdtPr/>
        <w:sdtContent>
          <w:customXml w:element="row">
            <w:tr>
              <w:tc>
                <w:tcPr>
                  <w:tcW w:w="2000" w:type="dxa"/>
                </w:tcPr>
                <w:p>
                  <w:pPr>
                    <w:pStyle w:val="af5"/>
                  </w:pPr>
                  <w:r>
                    <w:t>入れ子3</w:t>
                  </w:r>
                </w:p>
              </w:tc>
              <w:tc>
                <w:tcPr>
                  <w:tcW w:w="2000" w:type="dxa"/>
                </w:tcPr>
                <w:p>
                  <w:pPr>
                    <w:pStyle w:val="af5"/>
                  </w:pPr>
                  <w:r>
                    <w:t>XMLを包んだSDTの行</w:t>
                  </w:r>
                </w:p>
              </w:tc>
            </w:tr>
          </w:customXml>
        </w:sdtContent>
      </w:sdt>
      <w:tr>
        <w:tc>
          <w:tcPr>
            <w:tcW w:w="2000" w:type="dxa"/>
          </w:tcPr>
          <w:p>
            <w:pPr>
              <w:pStyle w:val="af5"/>
            </w:pPr>
            <w:r>
              <w:t>後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入れ子の行の後</w:t>
            </w:r>
          </w:p>
        </w:tc>
      </w:tr>
    </w:tbl>
    <w:p>
      <w:pPr>
        <w:pStyle w:val="af5"/>
      </w:pPr>
      <w:r>
        <w:t>以上の表では，包まれた行やセルも前後の行やセルと同じ順に並ぶ。</w:t>
      </w:r>
    </w:p>
    <w:p>
      <w:pPr>
        <w:pStyle w:val="aff1"/>
      </w:pPr>
      <w:r>
        <w:t>２．テキストボックスの中の包まれた段落と表</w:t>
      </w:r>
    </w:p>
    <w:p xmlns:a="http://schemas.openxmlformats.org/drawingml/2006/main" xmlns:pic="http://schemas.openxmlformats.org/drawingml/2006/picture">
      <w:pPr>
        <w:pStyle w:val="af5"/>
      </w:pPr>
      <w:r>
        <w:t>図1はテキストボックスの中のキャプションがコンテンツコントロールに包まれた例。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1500000"/>
                <wp:wrapNone/>
                <wp:docPr id="411" name="図形 411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800000" cy="1100000"/>
                                  <wp:docPr id="412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2" name="図"/>
                                          <pic:cNvPicPr/>
                                        </pic:nvPicPr>
                                        <pic:blipFill>
                                          <a:blip r:embed="rId9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0" cy="110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/>
                            <w:sdtContent>
                              <w:p>
                                <w:pPr>
                                  <w:pStyle w:val="affa"/>
                                </w:pPr>
                                <w:r>
                                  <w:t>図1　コンテンツコントロールに包んだキャプション</w:t>
                                </w:r>
                              </w:p>
                            </w:sdtContent>
                          </w:sdt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drawing>
                          <wp:inline distT="0" distB="0" distL="0" distR="0">
                            <wp:extent cx="1800000" cy="1100000"/>
                            <wp:docPr id="412" name="図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12" name="図"/>
                                    <pic:cNvPicPr/>
                                  </pic:nvPicPr>
                                  <pic:blipFill>
                                    <a:blip r:embed="rId9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0" cy="110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sdt>
                      <w:sdtPr/>
                      <w:sdtContent>
                        <w:p>
                          <w:pPr>
                            <w:pStyle w:val="affa"/>
                          </w:pPr>
                          <w:r>
                            <w:t>図1　コンテンツコントロールに包んだキャプション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xmlns:a="http://schemas.openxmlformats.org/drawingml/2006/main">
      <w:pPr>
        <w:pStyle w:val="af5"/>
      </w:pPr>
      <w:r>
        <w:t>表5はテキストボックスの中のキャプションと表が包まれた例。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1000000"/>
                <wp:wrapNone/>
                <wp:docPr id="413" name="図形 413"/>
                <a:graphic>
                  <a:graphicData uri="http://schemas.microsoft.com/office/word/2010/wordprocessingShape">
                    <wps:wsp>
                      <wps:txbx>
                        <w:txbxContent>
                          <w:customXml w:element="caption">
                            <w:p>
                              <w:pPr>
                                <w:pStyle w:val="affb"/>
                              </w:pPr>
                              <w:r>
                                <w:t>表5　テキストボックスの中の包まれた表</w:t>
                              </w:r>
                            </w:p>
                          </w:customXml>
                          <w:sdt>
                            <w:sdtPr/>
                            <w:sdtContent>
                              <w:tbl>
                                <w:tblPr>
                                  <w:tblStyle w:val="a5"/>
                                  <w:tblW w:w="0" w:type="auto"/>
                                </w:tblPr>
                                <w:tblGrid>
                                  <w:gridCol w:w="2000"/>
                                  <w:gridCol w:w="2000"/>
                                </w:tblGrid>
                                <w:tr>
                                  <w:tc>
                                    <w:tcPr>
                                      <w:tcW w:w="2000" w:type="dxa"/>
                                    </w:tcPr>
                                    <w:p>
                                      <w:pPr>
                                        <w:pStyle w:val="af5"/>
                                      </w:pPr>
                                      <w:r>
                                        <w:t>観点</w:t>
                                      </w:r>
                                    </w:p>
                                  </w:tc>
                                  <w:tc>
                                    <w:tcPr>
                                      <w:tcW w:w="2000" w:type="dxa"/>
                                    </w:tcPr>
                                    <w:p>
                                      <w:pPr>
                                        <w:pStyle w:val="af5"/>
                                      </w:pPr>
                                      <w:r>
                                        <w:t>内容</w:t>
                                      </w:r>
                                    </w:p>
                                  </w:tc>
                                </w:tr>
                                <w:tr>
                                  <w:tc>
                                    <w:tcPr>
                                      <w:tcW w:w="2000" w:type="dxa"/>
                                    </w:tcPr>
                                    <w:p>
                                      <w:pPr>
                                        <w:pStyle w:val="af5"/>
                                      </w:pPr>
                                      <w:r>
                                        <w:t>包んだ表</w:t>
                                      </w:r>
                                    </w:p>
                                  </w:tc>
                                  <w:tc>
                                    <w:tcPr>
                                      <w:tcW w:w="2000" w:type="dxa"/>
                                    </w:tcPr>
                                    <w:p>
                                      <w:pPr>
                                        <w:pStyle w:val="af5"/>
                                      </w:pPr>
                                      <w:r>
                                        <w:t>テキストボックスのSDTの表</w:t>
                                      </w:r>
                                    </w:p>
                                  </w:tc>
                                </w:tr>
                              </w:tbl>
                            </w:sdtContent>
                          </w:sdt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customXml w:element="caption">
                      <w:p>
                        <w:pPr>
                          <w:pStyle w:val="affb"/>
                        </w:pPr>
                        <w:r>
                          <w:t>表5　テキストボックスの中の包まれた表</w:t>
                        </w:r>
                      </w:p>
                    </w:customXml>
                    <w:sdt>
                      <w:sdtPr/>
                      <w:sdtContent>
                        <w:tbl>
                          <w:tblPr>
                            <w:tblStyle w:val="a5"/>
                            <w:tblW w:w="0" w:type="auto"/>
                          </w:tblPr>
                          <w:tblGrid>
                            <w:gridCol w:w="2000"/>
                            <w:gridCol w:w="2000"/>
                          </w:tblGrid>
                          <w:tr>
                            <w:tc>
                              <w:tcPr>
                                <w:tcW w:w="2000" w:type="dxa"/>
                              </w:tcPr>
                              <w:p>
                                <w:pPr>
                                  <w:pStyle w:val="af5"/>
                                </w:pPr>
                                <w:r>
                                  <w:t>観点</w:t>
                                </w:r>
                              </w:p>
                            </w:tc>
                            <w:tc>
                              <w:tcPr>
                                <w:tcW w:w="2000" w:type="dxa"/>
                              </w:tcPr>
                              <w:p>
                                <w:pPr>
                                  <w:pStyle w:val="af5"/>
                                </w:pPr>
                                <w:r>
                                  <w:t>内容</w:t>
                                </w:r>
                              </w:p>
                            </w:tc>
                          </w:tr>
                          <w:tr>
                            <w:tc>
                              <w:tcPr>
                                <w:tcW w:w="2000" w:type="dxa"/>
                              </w:tcPr>
                              <w:p>
                                <w:pPr>
                                  <w:pStyle w:val="af5"/>
                                </w:pPr>
                                <w:r>
                                  <w:t>包んだ表</w:t>
                                </w:r>
                              </w:p>
                            </w:tc>
                            <w:tc>
                              <w:tcPr>
                                <w:tcW w:w="2000" w:type="dxa"/>
                              </w:tcPr>
                              <w:p>
                                <w:pPr>
                                  <w:pStyle w:val="af5"/>
                                </w:pPr>
                                <w:r>
                                  <w:t>テキストボックスのSDTの表</w:t>
                                </w:r>
                              </w:p>
                            </w:tc>
                          </w:tr>
                        </w:tbl>
                      </w:sdtContent>
                    </w:sdt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以上が読み取りの確かめである。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試験五郎（2023）．「読み取りの検証」．『架空誌』，第4巻，pp.7-8．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Reading Wrapped Elements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Checking the Reader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Goro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Reader abstract.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901" Type="http://schemas.openxmlformats.org/officeDocument/2006/relationships/image" Target="media/reader_tb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