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C852CA">
      <w:pPr>
        <w:pStyle w:val="140"/>
        <w:pBdr/>
        <w:spacing/>
        <w:ind/>
        <w:jc w:val="both"/>
        <w:rPr>
          <w:rFonts w:ascii="Times New Roman" w:hAnsi="Times New Roman" w:cs="Times New Roman"/>
        </w:rPr>
      </w:pPr>
      <w:r>
        <w:rPr>
          <w:rFonts w:ascii="Times New Roman" w:hAnsi="Times New Roman" w:eastAsia="Times New Roman" w:cs="Times New Roman"/>
          <w:highlight w:val="none"/>
        </w:rPr>
        <w:t xml:space="preserve">I. Introduction</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A721F21">
      <w:pPr>
        <w:pBdr/>
        <w:spacing/>
        <w:ind/>
        <w:jc w:val="both"/>
        <w:rPr>
          <w:rFonts w:ascii="Times New Roman" w:hAnsi="Times New Roman" w:cs="Times New Roman"/>
          <w:highlight w:val="none"/>
        </w:rPr>
      </w:pPr>
      <w:r>
        <w:rPr>
          <w:rFonts w:ascii="Times New Roman" w:hAnsi="Times New Roman" w:eastAsia="Times New Roman" w:cs="Times New Roman"/>
        </w:rPr>
        <w:t xml:space="preserve">High-purity germanium (HPGe) γ–γ coincidence spectrometers at research reactors are indispensable for high-resolution nuclear spectroscopy. By enforcing time-correlated detection of cascade γ-rays, the technique clarifies level schemes, suppresses backgroun</w:t>
      </w:r>
      <w:r>
        <w:rPr>
          <w:rFonts w:ascii="Times New Roman" w:hAnsi="Times New Roman" w:eastAsia="Times New Roman" w:cs="Times New Roman"/>
        </w:rPr>
        <w:t xml:space="preserve">d with high selectivity, and exposes weak branches that are easily hidden in singles spectra. These advantages make coincidence measurements central to constructing reliable decay schemes and identifying activation products in complex samples. Quantitative </w:t>
      </w:r>
      <w:r>
        <w:rPr>
          <w:rFonts w:ascii="Times New Roman" w:hAnsi="Times New Roman" w:eastAsia="Times New Roman" w:cs="Times New Roman"/>
        </w:rPr>
        <w:t xml:space="preserve">use of such data—e.g., absolute transition intensities and level lifetimes—critically depends on (i) accurate full-energy peak (FEP) efficiency determination and (ii) precise correction for true-coincidence summing (TCS). </w:t>
      </w:r>
      <w:r>
        <w:rPr>
          <w:rFonts w:ascii="Times New Roman" w:hAnsi="Times New Roman" w:eastAsia="Times New Roman" w:cs="Times New Roman"/>
        </w:rPr>
      </w:r>
    </w:p>
    <w:p w14:paraId="4931C677">
      <w:pPr>
        <w:pBdr/>
        <w:spacing/>
        <w:ind/>
        <w:jc w:val="both"/>
        <w:rPr>
          <w:rFonts w:ascii="Times New Roman" w:hAnsi="Times New Roman" w:cs="Times New Roman"/>
        </w:rPr>
      </w:pPr>
      <w:r>
        <w:rPr>
          <w:rFonts w:ascii="Times New Roman" w:hAnsi="Times New Roman" w:eastAsia="Times New Roman" w:cs="Times New Roman"/>
        </w:rPr>
        <w:t xml:space="preserve">In the compact, high-efficiency geometries favored by modern systems—close source-to-detector distances, collimation, and extensive shielding—analytic efficiency models are typically insufficient. Monte Carlo (MC) transport has therefore become the standard</w:t>
      </w:r>
      <w:r>
        <w:rPr>
          <w:rFonts w:ascii="Times New Roman" w:hAnsi="Times New Roman" w:eastAsia="Times New Roman" w:cs="Times New Roman"/>
        </w:rPr>
        <w:t xml:space="preserve"> for modeling γ-ray interactions and detector response in such environments. Among available toolkits, Geant4 is widely adopted for HPGe efficiency calibration and TCS analysis in complex assemblies. </w:t>
      </w:r>
      <w:r>
        <w:rPr>
          <w:rFonts w:ascii="Times New Roman" w:hAnsi="Times New Roman" w:eastAsia="Times New Roman" w:cs="Times New Roman"/>
        </w:rPr>
      </w:r>
    </w:p>
    <w:p w14:paraId="3DF0264B">
      <w:pPr>
        <w:pBdr/>
        <w:spacing/>
        <w:ind/>
        <w:jc w:val="both"/>
        <w:rPr>
          <w:rFonts w:ascii="Times New Roman" w:hAnsi="Times New Roman" w:cs="Times New Roman"/>
        </w:rPr>
      </w:pPr>
      <w:r>
        <w:rPr>
          <w:rFonts w:ascii="Times New Roman" w:hAnsi="Times New Roman" w:eastAsia="Times New Roman" w:cs="Times New Roman"/>
        </w:rPr>
        <w:t xml:space="preserve">At the Dalat Nuclear Research Institute (DNRI, Vietnam), a dedicated γ–γ coincidence spectrometer comprising two coaxial HPGe detectors is installed on the tangential thermal-neutron beamline of the Dalat Nuclear Research Reactor. The system is used ro</w:t>
      </w:r>
      <w:r>
        <w:rPr>
          <w:rFonts w:ascii="Times New Roman" w:hAnsi="Times New Roman" w:eastAsia="Times New Roman" w:cs="Times New Roman"/>
        </w:rPr>
        <w:t xml:space="preserve">utinely for neutron-capture and activation studies—mapping level schemes, characterizing γ–γ cascades, and searching for anomalous decay patterns—continuing a local line of development of coincidence instrumentation. To exploit the instrument fully and ensu</w:t>
      </w:r>
      <w:r>
        <w:rPr>
          <w:rFonts w:ascii="Times New Roman" w:hAnsi="Times New Roman" w:eastAsia="Times New Roman" w:cs="Times New Roman"/>
        </w:rPr>
        <w:t xml:space="preserve">re metrological rigor, we require an experiment-specific MC model that reproduces absolute and relative photopeak efficiencies in singles and, crucially, geometry-dependent coincidence efficiencies and summing probabilities. </w:t>
      </w:r>
      <w:r>
        <w:rPr>
          <w:rFonts w:ascii="Times New Roman" w:hAnsi="Times New Roman" w:eastAsia="Times New Roman" w:cs="Times New Roman"/>
        </w:rPr>
      </w:r>
    </w:p>
    <w:p w14:paraId="6BDFD9BB">
      <w:pPr>
        <w:pBdr/>
        <w:spacing/>
        <w:ind/>
        <w:jc w:val="both"/>
        <w:rPr>
          <w:rFonts w:ascii="Times New Roman" w:hAnsi="Times New Roman" w:cs="Times New Roman"/>
        </w:rPr>
      </w:pPr>
      <w:r>
        <w:rPr>
          <w:rFonts w:ascii="Times New Roman" w:hAnsi="Times New Roman" w:eastAsia="Times New Roman" w:cs="Times New Roman"/>
        </w:rPr>
        <w:t xml:space="preserve">This work presents the development and validation of a detailed Geant4 model of the Dalat HPGe coincidence system. The setup poses nontrivial modeling challenges: a compact detector arrangement; thick, composite shielding (lead and borated polyethylene) for</w:t>
      </w:r>
      <w:r>
        <w:rPr>
          <w:rFonts w:ascii="Times New Roman" w:hAnsi="Times New Roman" w:eastAsia="Times New Roman" w:cs="Times New Roman"/>
        </w:rPr>
        <w:t xml:space="preserve"> neutron suppression; and experiment-specific data-acquisition (DAQ) logic for coincidence processing. Capturing these elements faithfully is essential to obtain a reliable “digital twin” of the spectrometer.</w:t>
      </w:r>
      <w:r>
        <w:rPr>
          <w:rFonts w:ascii="Times New Roman" w:hAnsi="Times New Roman" w:eastAsia="Times New Roman" w:cs="Times New Roman"/>
        </w:rPr>
      </w:r>
    </w:p>
    <w:p w14:paraId="225A861E">
      <w:pPr>
        <w:pBdr/>
        <w:spacing/>
        <w:ind/>
        <w:jc w:val="both"/>
        <w:rPr>
          <w:rFonts w:ascii="Times New Roman" w:hAnsi="Times New Roman" w:cs="Times New Roman"/>
        </w:rPr>
      </w:pPr>
      <w:r>
        <w:rPr>
          <w:rFonts w:ascii="Times New Roman" w:hAnsi="Times New Roman" w:eastAsia="Times New Roman" w:cs="Times New Roman"/>
        </w:rPr>
        <w:t xml:space="preserve">For validation we employ the well-characterized ^35Cl(n,γ)^36Cl reaction as a benchmark. The ^36Cl decay scheme is firmly established, and its intense, well-separated γ–γ cascades provide an ideal set of lines spanning a broad energy range. Experimentally, </w:t>
      </w:r>
      <w:r>
        <w:rPr>
          <w:rFonts w:ascii="Times New Roman" w:hAnsi="Times New Roman" w:eastAsia="Times New Roman" w:cs="Times New Roman"/>
        </w:rPr>
        <w:t xml:space="preserve">^36Cl activity is produced via in-reactor irradiation and recorded in both singles and coincidence modes. To concentrate computational effort on detector response and electronic logic, our simulations omit neutron transport and instead generate γ-rays direc</w:t>
      </w:r>
      <w:r>
        <w:rPr>
          <w:rFonts w:ascii="Times New Roman" w:hAnsi="Times New Roman" w:eastAsia="Times New Roman" w:cs="Times New Roman"/>
        </w:rPr>
        <w:t xml:space="preserve">tly from the excited ^36Cl cascade as the primary source. </w:t>
      </w:r>
      <w:r>
        <w:rPr>
          <w:rFonts w:ascii="Times New Roman" w:hAnsi="Times New Roman" w:eastAsia="Times New Roman" w:cs="Times New Roman"/>
        </w:rPr>
      </w:r>
    </w:p>
    <w:p w14:paraId="605FBBA9">
      <w:pPr>
        <w:pBdr/>
        <w:spacing/>
        <w:ind/>
        <w:jc w:val="both"/>
        <w:rPr>
          <w:rFonts w:ascii="Times New Roman" w:hAnsi="Times New Roman" w:cs="Times New Roman"/>
        </w:rPr>
      </w:pPr>
      <w:r>
        <w:rPr>
          <w:rFonts w:ascii="Times New Roman" w:hAnsi="Times New Roman" w:eastAsia="Times New Roman" w:cs="Times New Roman"/>
        </w:rPr>
        <w:t xml:space="preserve">Validation is multi-faceted, comparing experiment and simulation across: (i) absolute and relative FEP efficiencies in singles; (ii) true-coincidence efficiencies for selected cascade pairs; (iii) the magnitude of summing-in/summing-out effects and peak-to-</w:t>
      </w:r>
      <w:r>
        <w:rPr>
          <w:rFonts w:ascii="Times New Roman" w:hAnsi="Times New Roman" w:eastAsia="Times New Roman" w:cs="Times New Roman"/>
        </w:rPr>
        <w:t xml:space="preserve">total behavior; (iv) spectral shapes in coincidence-gated spectra; and (v) timing distributions between detectors. We also quantify the impact of uncertainties (geometric tolerances, material compositions, and nuclear-data inputs) on the agreement.</w:t>
      </w:r>
      <w:r>
        <w:rPr>
          <w:rFonts w:ascii="Times New Roman" w:hAnsi="Times New Roman" w:eastAsia="Times New Roman" w:cs="Times New Roman"/>
        </w:rPr>
      </w:r>
    </w:p>
    <w:p w14:paraId="6D0BDF35">
      <w:pPr>
        <w:pBdr/>
        <w:spacing/>
        <w:ind/>
        <w:jc w:val="both"/>
        <w:rPr>
          <w:rFonts w:ascii="Times New Roman" w:hAnsi="Times New Roman" w:cs="Times New Roman"/>
        </w:rPr>
      </w:pPr>
      <w:r>
        <w:rPr>
          <w:rFonts w:ascii="Times New Roman" w:hAnsi="Times New Roman" w:eastAsia="Times New Roman" w:cs="Times New Roman"/>
        </w:rPr>
        <w:t xml:space="preserve">The successful validation establishes the Geant4 model as a reliable tool at Dalat NRI for: (1) efficiency calibrations over a broad energy range; (2) accurate TCS corrections in quantitative analysis; and (3) design and feasibility assessment of future mea</w:t>
      </w:r>
      <w:r>
        <w:rPr>
          <w:rFonts w:ascii="Times New Roman" w:hAnsi="Times New Roman" w:eastAsia="Times New Roman" w:cs="Times New Roman"/>
        </w:rPr>
        <w:t xml:space="preserve">surements. While the present paper focuses on methodology and validation with the ^35Cl(n,γ)^36Cl benchmark, the model underpins a wider research program, including studies of isotopes such as ^54Cr, where resolving incomplete level schemes, identifying new</w:t>
      </w:r>
      <w:r>
        <w:rPr>
          <w:rFonts w:ascii="Times New Roman" w:hAnsi="Times New Roman" w:eastAsia="Times New Roman" w:cs="Times New Roman"/>
        </w:rPr>
        <w:t xml:space="preserve"> candidates, and interpreting anomalous cascade intensities require a precisely characterized detector response.</w:t>
      </w:r>
      <w:r>
        <w:rPr>
          <w:rFonts w:ascii="Times New Roman" w:hAnsi="Times New Roman" w:eastAsia="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In what follows, we describe the experimental setup and DAQ system, detail the Geant4 geometry and physics lists, and explain the emulation of the coincidence logic. We then compare simulated and measured observables, discuss residual discrepancies, and pro</w:t>
      </w:r>
      <w:r>
        <w:rPr>
          <w:rFonts w:ascii="Times New Roman" w:hAnsi="Times New Roman" w:eastAsia="Times New Roman" w:cs="Times New Roman"/>
        </w:rPr>
        <w:t xml:space="preserve">vide an uncertainty budget, before concluding with prospects for applying this validated framework to advanced nuclear-structure and activation studies at Dalat NRI.</w:t>
      </w:r>
      <w:r>
        <w:rPr>
          <w:rFonts w:ascii="Times New Roman" w:hAnsi="Times New Roman" w:eastAsia="Times New Roman" w:cs="Times New Roman"/>
        </w:rPr>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2025-12-09T03:16:46Z</dcterms:modified>
</cp:coreProperties>
</file>