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44"/>
        </w:rPr>
        <w:t>DETAILED PROOF OF CONCEPT &amp; TECHNICAL ARCHITECTURE</w:t>
      </w:r>
    </w:p>
    <w:p>
      <w:pPr>
        <w:jc w:val="center"/>
      </w:pPr>
      <w:r>
        <w:rPr>
          <w:rFonts w:ascii="Calibri" w:hAnsi="Calibri"/>
          <w:i/>
          <w:color w:val="0284C7"/>
          <w:sz w:val="24"/>
        </w:rPr>
        <w:t>Comprehensive Technical Specification &amp; Blueprint</w:t>
        <w:br/>
        <w:t>TET Platform — Tamil Nadu Teachers Welfare Association &amp; School Curriculum Portal</w:t>
        <w:br/>
        <w:t>Domain: tnteachers.in</w:t>
      </w:r>
    </w:p>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4680"/>
            <w:shd w:fill="F0FDF4"/>
            <w:tcMar>
              <w:top w:w="80" w:type="dxa"/>
              <w:bottom w:w="80" w:type="dxa"/>
              <w:left w:w="100" w:type="dxa"/>
              <w:right w:w="100" w:type="dxa"/>
            </w:tcMar>
          </w:tcPr>
          <w:p>
            <w:r>
              <w:rPr>
                <w:b/>
                <w:color w:val="1E3A8A"/>
              </w:rPr>
              <w:t>Project Name:</w:t>
            </w:r>
          </w:p>
        </w:tc>
        <w:tc>
          <w:tcPr>
            <w:tcW w:type="dxa" w:w="4680"/>
            <w:shd w:fill="F8FAFC"/>
            <w:tcMar>
              <w:top w:w="80" w:type="dxa"/>
              <w:bottom w:w="80" w:type="dxa"/>
              <w:left w:w="100" w:type="dxa"/>
              <w:right w:w="100" w:type="dxa"/>
            </w:tcMar>
          </w:tcPr>
          <w:p>
            <w:r>
              <w:t>TET Platform (Tamil Nadu Eligibility Test &amp; School Curriculum Portal)</w:t>
            </w:r>
          </w:p>
        </w:tc>
      </w:tr>
      <w:tr>
        <w:tc>
          <w:tcPr>
            <w:tcW w:type="dxa" w:w="4680"/>
            <w:shd w:fill="F0FDF4"/>
            <w:tcMar>
              <w:top w:w="80" w:type="dxa"/>
              <w:bottom w:w="80" w:type="dxa"/>
              <w:left w:w="100" w:type="dxa"/>
              <w:right w:w="100" w:type="dxa"/>
            </w:tcMar>
          </w:tcPr>
          <w:p>
            <w:r>
              <w:rPr>
                <w:b/>
                <w:color w:val="1E3A8A"/>
              </w:rPr>
              <w:t>Target Domain:</w:t>
            </w:r>
          </w:p>
        </w:tc>
        <w:tc>
          <w:tcPr>
            <w:tcW w:type="dxa" w:w="4680"/>
            <w:shd w:fill="F8FAFC"/>
            <w:tcMar>
              <w:top w:w="80" w:type="dxa"/>
              <w:bottom w:w="80" w:type="dxa"/>
              <w:left w:w="100" w:type="dxa"/>
              <w:right w:w="100" w:type="dxa"/>
            </w:tcMar>
          </w:tcPr>
          <w:p>
            <w:r>
              <w:t>tnteachers.in</w:t>
            </w:r>
          </w:p>
        </w:tc>
      </w:tr>
      <w:tr>
        <w:tc>
          <w:tcPr>
            <w:tcW w:type="dxa" w:w="4680"/>
            <w:shd w:fill="F0FDF4"/>
            <w:tcMar>
              <w:top w:w="80" w:type="dxa"/>
              <w:bottom w:w="80" w:type="dxa"/>
              <w:left w:w="100" w:type="dxa"/>
              <w:right w:w="100" w:type="dxa"/>
            </w:tcMar>
          </w:tcPr>
          <w:p>
            <w:r>
              <w:rPr>
                <w:b/>
                <w:color w:val="1E3A8A"/>
              </w:rPr>
              <w:t>Target Infrastructure:</w:t>
            </w:r>
          </w:p>
        </w:tc>
        <w:tc>
          <w:tcPr>
            <w:tcW w:type="dxa" w:w="4680"/>
            <w:shd w:fill="F8FAFC"/>
            <w:tcMar>
              <w:top w:w="80" w:type="dxa"/>
              <w:bottom w:w="80" w:type="dxa"/>
              <w:left w:w="100" w:type="dxa"/>
              <w:right w:w="100" w:type="dxa"/>
            </w:tcMar>
          </w:tcPr>
          <w:p>
            <w:r>
              <w:t>BigRock Virtual Private Server (VPS) Hosting</w:t>
            </w:r>
          </w:p>
        </w:tc>
      </w:tr>
      <w:tr>
        <w:tc>
          <w:tcPr>
            <w:tcW w:type="dxa" w:w="4680"/>
            <w:shd w:fill="F0FDF4"/>
            <w:tcMar>
              <w:top w:w="80" w:type="dxa"/>
              <w:bottom w:w="80" w:type="dxa"/>
              <w:left w:w="100" w:type="dxa"/>
              <w:right w:w="100" w:type="dxa"/>
            </w:tcMar>
          </w:tcPr>
          <w:p>
            <w:r>
              <w:rPr>
                <w:b/>
                <w:color w:val="1E3A8A"/>
              </w:rPr>
              <w:t>Document Version:</w:t>
            </w:r>
          </w:p>
        </w:tc>
        <w:tc>
          <w:tcPr>
            <w:tcW w:type="dxa" w:w="4680"/>
            <w:shd w:fill="F8FAFC"/>
            <w:tcMar>
              <w:top w:w="80" w:type="dxa"/>
              <w:bottom w:w="80" w:type="dxa"/>
              <w:left w:w="100" w:type="dxa"/>
              <w:right w:w="100" w:type="dxa"/>
            </w:tcMar>
          </w:tcPr>
          <w:p>
            <w:r>
              <w:t>2.0.0 (Comprehensive Technical Blueprint &amp; Functional PoC)</w:t>
            </w:r>
          </w:p>
        </w:tc>
      </w:tr>
    </w:tbl>
    <w:p/>
    <w:p>
      <w:pPr>
        <w:spacing w:before="360" w:after="120"/>
      </w:pPr>
      <w:r>
        <w:rPr>
          <w:rFonts w:ascii="Calibri" w:hAnsi="Calibri"/>
          <w:b/>
          <w:color w:val="1E3A8A"/>
          <w:sz w:val="32"/>
        </w:rPr>
        <w:t>1. Executive Vision &amp; Platform Purpose</w:t>
      </w:r>
    </w:p>
    <w:p>
      <w:r>
        <w:t>The TET Platform (tnteachers.in) is an enterprise-grade digital learning portal engineered to empower candidates preparing for the Tamil Nadu Eligibility Test (TET) and school students across Grades 1 through 12 following the Tamil Nadu State Board Curriculum. The ecosystem bridges traditional textbook study with cutting-edge artificial intelligence, offering structured 4-stage sequential learning paths, dynamic practice exam generators, bilingual language toggling, and robust admin governance.</w:t>
      </w:r>
    </w:p>
    <w:p>
      <w:pPr>
        <w:spacing w:before="360" w:after="120"/>
      </w:pPr>
      <w:r>
        <w:rPr>
          <w:rFonts w:ascii="Calibri" w:hAnsi="Calibri"/>
          <w:b/>
          <w:color w:val="1E3A8A"/>
          <w:sz w:val="32"/>
        </w:rPr>
        <w:t>2. Core Platform Pillars &amp; Capabilities</w:t>
      </w:r>
    </w:p>
    <w:p>
      <w:pPr>
        <w:pStyle w:val="ListBullet"/>
        <w:spacing w:before="40" w:after="40"/>
      </w:pPr>
      <w:r>
        <w:rPr>
          <w:b/>
          <w:color w:val="1E3A8A"/>
        </w:rPr>
        <w:t xml:space="preserve">1. Enforced Sequential Progression: </w:t>
      </w:r>
      <w:r>
        <w:rPr>
          <w:color w:val="1F2937"/>
        </w:rPr>
        <w:t>To maximize knowledge retention, advanced terms and lessons remain locked until prerequisites are satisfied. Students follow a structured path: Stage 1 (PDF Study Notes) -&gt; Stage 2 (Video Lectures) -&gt; Stage 3 (200 AI Practice MCQs) -&gt; Stage 4 (100 Timed Test Questions).</w:t>
      </w:r>
    </w:p>
    <w:p>
      <w:pPr>
        <w:pStyle w:val="ListBullet"/>
        <w:spacing w:before="40" w:after="40"/>
      </w:pPr>
      <w:r>
        <w:rPr>
          <w:b/>
          <w:color w:val="1E3A8A"/>
        </w:rPr>
        <w:t xml:space="preserve">2. AI-Powered Assessment Engine: </w:t>
      </w:r>
      <w:r>
        <w:rPr>
          <w:color w:val="1F2937"/>
        </w:rPr>
        <w:t>Deep integration with Google Gemini 1.5 Flash AI generates curriculum-aligned multiple choice practice sets and timed examinations with instant scoring, answer explanations, and automated zero-cost fallbacks.</w:t>
      </w:r>
    </w:p>
    <w:p>
      <w:pPr>
        <w:pStyle w:val="ListBullet"/>
        <w:spacing w:before="40" w:after="40"/>
      </w:pPr>
      <w:r>
        <w:rPr>
          <w:b/>
          <w:color w:val="1E3A8A"/>
        </w:rPr>
        <w:t xml:space="preserve">3. 100% Full-Page Dual Language Toggle: </w:t>
      </w:r>
      <w:r>
        <w:rPr>
          <w:color w:val="1F2937"/>
        </w:rPr>
        <w:t>A global top-right toggle (🌐 த / 🌐 EN) seamlessly translates all interface elements, titles, navigation controls, instruction sets, and test modules between Tamil (தமிழ்) and English without page reloads.</w:t>
      </w:r>
    </w:p>
    <w:p>
      <w:pPr>
        <w:pStyle w:val="ListBullet"/>
        <w:spacing w:before="40" w:after="40"/>
      </w:pPr>
      <w:r>
        <w:rPr>
          <w:b/>
          <w:color w:val="1E3A8A"/>
        </w:rPr>
        <w:t xml:space="preserve">4. Gamified Student Retention &amp; Streaks: </w:t>
      </w:r>
      <w:r>
        <w:rPr>
          <w:color w:val="1F2937"/>
        </w:rPr>
        <w:t>Includes daily task completion percentage meters, active day streak counters (🔥 Day Streak), dynamic motivational quotes, and milestone achievement badges (Quick Starter, Bronze Scholar, Silver Academic, and 50-Streak Diamond Legend).</w:t>
      </w:r>
    </w:p>
    <w:p>
      <w:pPr>
        <w:pStyle w:val="ListBullet"/>
        <w:spacing w:before="40" w:after="40"/>
      </w:pPr>
      <w:r>
        <w:rPr>
          <w:b/>
          <w:color w:val="1E3A8A"/>
        </w:rPr>
        <w:t xml:space="preserve">5. Executive Admin Content Control: </w:t>
      </w:r>
      <w:r>
        <w:rPr>
          <w:color w:val="1F2937"/>
        </w:rPr>
        <w:t>Dedicated admin workflows for uploading Class 1-12 PDFs, video lesson URLs, stream subjects (Physics, Chemistry, Botany, Zoology, Computer Science), custom subjects, and broadcasting platform announcements.</w:t>
      </w:r>
    </w:p>
    <w:p>
      <w:pPr>
        <w:spacing w:before="360" w:after="120"/>
      </w:pPr>
      <w:r>
        <w:rPr>
          <w:rFonts w:ascii="Calibri" w:hAnsi="Calibri"/>
          <w:b/>
          <w:color w:val="1E3A8A"/>
          <w:sz w:val="32"/>
        </w:rPr>
        <w:t>3. Comprehensive Technical Architecture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E3A8A"/>
            <w:tcMar>
              <w:top w:w="100" w:type="dxa"/>
              <w:bottom w:w="100" w:type="dxa"/>
              <w:left w:w="120" w:type="dxa"/>
              <w:right w:w="120" w:type="dxa"/>
            </w:tcMar>
          </w:tcPr>
          <w:p>
            <w:r>
              <w:rPr>
                <w:b/>
                <w:color w:val="FFFFFF"/>
              </w:rPr>
              <w:t>Layer</w:t>
            </w:r>
          </w:p>
        </w:tc>
        <w:tc>
          <w:tcPr>
            <w:tcW w:type="dxa" w:w="3120"/>
            <w:shd w:fill="1E3A8A"/>
            <w:tcMar>
              <w:top w:w="100" w:type="dxa"/>
              <w:bottom w:w="100" w:type="dxa"/>
              <w:left w:w="120" w:type="dxa"/>
              <w:right w:w="120" w:type="dxa"/>
            </w:tcMar>
          </w:tcPr>
          <w:p>
            <w:r>
              <w:rPr>
                <w:b/>
                <w:color w:val="FFFFFF"/>
              </w:rPr>
              <w:t>Technology Selected</w:t>
            </w:r>
          </w:p>
        </w:tc>
        <w:tc>
          <w:tcPr>
            <w:tcW w:type="dxa" w:w="3120"/>
            <w:shd w:fill="1E3A8A"/>
            <w:tcMar>
              <w:top w:w="100" w:type="dxa"/>
              <w:bottom w:w="100" w:type="dxa"/>
              <w:left w:w="120" w:type="dxa"/>
              <w:right w:w="120" w:type="dxa"/>
            </w:tcMar>
          </w:tcPr>
          <w:p>
            <w:r>
              <w:rPr>
                <w:b/>
                <w:color w:val="FFFFFF"/>
              </w:rPr>
              <w:t>Technical Function &amp; Rationale</w:t>
            </w:r>
          </w:p>
        </w:tc>
      </w:tr>
      <w:tr>
        <w:tc>
          <w:tcPr>
            <w:tcW w:type="dxa" w:w="3120"/>
            <w:shd w:fill="F8FAFC"/>
            <w:tcMar>
              <w:top w:w="80" w:type="dxa"/>
              <w:bottom w:w="80" w:type="dxa"/>
              <w:left w:w="100" w:type="dxa"/>
              <w:right w:w="100" w:type="dxa"/>
            </w:tcMar>
          </w:tcPr>
          <w:p>
            <w:r>
              <w:t>Frontend Web App</w:t>
            </w:r>
          </w:p>
        </w:tc>
        <w:tc>
          <w:tcPr>
            <w:tcW w:type="dxa" w:w="3120"/>
            <w:shd w:fill="F8FAFC"/>
            <w:tcMar>
              <w:top w:w="80" w:type="dxa"/>
              <w:bottom w:w="80" w:type="dxa"/>
              <w:left w:w="100" w:type="dxa"/>
              <w:right w:w="100" w:type="dxa"/>
            </w:tcMar>
          </w:tcPr>
          <w:p>
            <w:r>
              <w:t>React 18 + Vite</w:t>
            </w:r>
          </w:p>
        </w:tc>
        <w:tc>
          <w:tcPr>
            <w:tcW w:type="dxa" w:w="3120"/>
            <w:shd w:fill="F8FAFC"/>
            <w:tcMar>
              <w:top w:w="80" w:type="dxa"/>
              <w:bottom w:w="80" w:type="dxa"/>
              <w:left w:w="100" w:type="dxa"/>
              <w:right w:w="100" w:type="dxa"/>
            </w:tcMar>
          </w:tcPr>
          <w:p>
            <w:r>
              <w:t>Single Page Application (SPA) providing sub-second page transitions, modular component state management, and optimized asset bundling.</w:t>
            </w:r>
          </w:p>
        </w:tc>
      </w:tr>
      <w:tr>
        <w:tc>
          <w:tcPr>
            <w:tcW w:type="dxa" w:w="3120"/>
            <w:shd w:fill="FFFFFF"/>
            <w:tcMar>
              <w:top w:w="80" w:type="dxa"/>
              <w:bottom w:w="80" w:type="dxa"/>
              <w:left w:w="100" w:type="dxa"/>
              <w:right w:w="100" w:type="dxa"/>
            </w:tcMar>
          </w:tcPr>
          <w:p>
            <w:r>
              <w:t>Design &amp; Styling</w:t>
            </w:r>
          </w:p>
        </w:tc>
        <w:tc>
          <w:tcPr>
            <w:tcW w:type="dxa" w:w="3120"/>
            <w:shd w:fill="FFFFFF"/>
            <w:tcMar>
              <w:top w:w="80" w:type="dxa"/>
              <w:bottom w:w="80" w:type="dxa"/>
              <w:left w:w="100" w:type="dxa"/>
              <w:right w:w="100" w:type="dxa"/>
            </w:tcMar>
          </w:tcPr>
          <w:p>
            <w:r>
              <w:t>Tailwind CSS</w:t>
            </w:r>
          </w:p>
        </w:tc>
        <w:tc>
          <w:tcPr>
            <w:tcW w:type="dxa" w:w="3120"/>
            <w:shd w:fill="FFFFFF"/>
            <w:tcMar>
              <w:top w:w="80" w:type="dxa"/>
              <w:bottom w:w="80" w:type="dxa"/>
              <w:left w:w="100" w:type="dxa"/>
              <w:right w:w="100" w:type="dxa"/>
            </w:tcMar>
          </w:tcPr>
          <w:p>
            <w:r>
              <w:t>Utility-first design system utilizing Ice Blue (#F8FAFC) background, Deep Royal Navy (#1E3A8A) headers, and Cognitive Blue (#0284C7) controls.</w:t>
            </w:r>
          </w:p>
        </w:tc>
      </w:tr>
      <w:tr>
        <w:tc>
          <w:tcPr>
            <w:tcW w:type="dxa" w:w="3120"/>
            <w:shd w:fill="F8FAFC"/>
            <w:tcMar>
              <w:top w:w="80" w:type="dxa"/>
              <w:bottom w:w="80" w:type="dxa"/>
              <w:left w:w="100" w:type="dxa"/>
              <w:right w:w="100" w:type="dxa"/>
            </w:tcMar>
          </w:tcPr>
          <w:p>
            <w:r>
              <w:t>Typography</w:t>
            </w:r>
          </w:p>
        </w:tc>
        <w:tc>
          <w:tcPr>
            <w:tcW w:type="dxa" w:w="3120"/>
            <w:shd w:fill="F8FAFC"/>
            <w:tcMar>
              <w:top w:w="80" w:type="dxa"/>
              <w:bottom w:w="80" w:type="dxa"/>
              <w:left w:w="100" w:type="dxa"/>
              <w:right w:w="100" w:type="dxa"/>
            </w:tcMar>
          </w:tcPr>
          <w:p>
            <w:r>
              <w:t>Plus Jakarta Sans</w:t>
            </w:r>
          </w:p>
        </w:tc>
        <w:tc>
          <w:tcPr>
            <w:tcW w:type="dxa" w:w="3120"/>
            <w:shd w:fill="F8FAFC"/>
            <w:tcMar>
              <w:top w:w="80" w:type="dxa"/>
              <w:bottom w:w="80" w:type="dxa"/>
              <w:left w:w="100" w:type="dxa"/>
              <w:right w:w="100" w:type="dxa"/>
            </w:tcMar>
          </w:tcPr>
          <w:p>
            <w:r>
              <w:t>Legibility-focused educational font supporting clean rendering for mathematical, Tamil script, and English text.</w:t>
            </w:r>
          </w:p>
        </w:tc>
      </w:tr>
      <w:tr>
        <w:tc>
          <w:tcPr>
            <w:tcW w:type="dxa" w:w="3120"/>
            <w:shd w:fill="FFFFFF"/>
            <w:tcMar>
              <w:top w:w="80" w:type="dxa"/>
              <w:bottom w:w="80" w:type="dxa"/>
              <w:left w:w="100" w:type="dxa"/>
              <w:right w:w="100" w:type="dxa"/>
            </w:tcMar>
          </w:tcPr>
          <w:p>
            <w:r>
              <w:t>Backend Server</w:t>
            </w:r>
          </w:p>
        </w:tc>
        <w:tc>
          <w:tcPr>
            <w:tcW w:type="dxa" w:w="3120"/>
            <w:shd w:fill="FFFFFF"/>
            <w:tcMar>
              <w:top w:w="80" w:type="dxa"/>
              <w:bottom w:w="80" w:type="dxa"/>
              <w:left w:w="100" w:type="dxa"/>
              <w:right w:w="100" w:type="dxa"/>
            </w:tcMar>
          </w:tcPr>
          <w:p>
            <w:r>
              <w:t>FastAPI (Python 3.12)</w:t>
            </w:r>
          </w:p>
        </w:tc>
        <w:tc>
          <w:tcPr>
            <w:tcW w:type="dxa" w:w="3120"/>
            <w:shd w:fill="FFFFFF"/>
            <w:tcMar>
              <w:top w:w="80" w:type="dxa"/>
              <w:bottom w:w="80" w:type="dxa"/>
              <w:left w:w="100" w:type="dxa"/>
              <w:right w:w="100" w:type="dxa"/>
            </w:tcMar>
          </w:tcPr>
          <w:p>
            <w:r>
              <w:t>Asynchronous ASGI framework delivering high concurrency, automated OpenAPI validation, and lightweight payload parsing.</w:t>
            </w:r>
          </w:p>
        </w:tc>
      </w:tr>
      <w:tr>
        <w:tc>
          <w:tcPr>
            <w:tcW w:type="dxa" w:w="3120"/>
            <w:shd w:fill="F8FAFC"/>
            <w:tcMar>
              <w:top w:w="80" w:type="dxa"/>
              <w:bottom w:w="80" w:type="dxa"/>
              <w:left w:w="100" w:type="dxa"/>
              <w:right w:w="100" w:type="dxa"/>
            </w:tcMar>
          </w:tcPr>
          <w:p>
            <w:r>
              <w:t>Database Engine</w:t>
            </w:r>
          </w:p>
        </w:tc>
        <w:tc>
          <w:tcPr>
            <w:tcW w:type="dxa" w:w="3120"/>
            <w:shd w:fill="F8FAFC"/>
            <w:tcMar>
              <w:top w:w="80" w:type="dxa"/>
              <w:bottom w:w="80" w:type="dxa"/>
              <w:left w:w="100" w:type="dxa"/>
              <w:right w:w="100" w:type="dxa"/>
            </w:tcMar>
          </w:tcPr>
          <w:p>
            <w:r>
              <w:t>SQLite / PostgreSQL</w:t>
            </w:r>
          </w:p>
        </w:tc>
        <w:tc>
          <w:tcPr>
            <w:tcW w:type="dxa" w:w="3120"/>
            <w:shd w:fill="F8FAFC"/>
            <w:tcMar>
              <w:top w:w="80" w:type="dxa"/>
              <w:bottom w:w="80" w:type="dxa"/>
              <w:left w:w="100" w:type="dxa"/>
              <w:right w:w="100" w:type="dxa"/>
            </w:tcMar>
          </w:tcPr>
          <w:p>
            <w:r>
              <w:t>Relational persistence storing user profiles, academic progress records, material definitions, and lesson metadata.</w:t>
            </w:r>
          </w:p>
        </w:tc>
      </w:tr>
      <w:tr>
        <w:tc>
          <w:tcPr>
            <w:tcW w:type="dxa" w:w="3120"/>
            <w:shd w:fill="FFFFFF"/>
            <w:tcMar>
              <w:top w:w="80" w:type="dxa"/>
              <w:bottom w:w="80" w:type="dxa"/>
              <w:left w:w="100" w:type="dxa"/>
              <w:right w:w="100" w:type="dxa"/>
            </w:tcMar>
          </w:tcPr>
          <w:p>
            <w:r>
              <w:t>AI Generator Engine</w:t>
            </w:r>
          </w:p>
        </w:tc>
        <w:tc>
          <w:tcPr>
            <w:tcW w:type="dxa" w:w="3120"/>
            <w:shd w:fill="FFFFFF"/>
            <w:tcMar>
              <w:top w:w="80" w:type="dxa"/>
              <w:bottom w:w="80" w:type="dxa"/>
              <w:left w:w="100" w:type="dxa"/>
              <w:right w:w="100" w:type="dxa"/>
            </w:tcMar>
          </w:tcPr>
          <w:p>
            <w:r>
              <w:t>Google Gemini 1.5 Flash API</w:t>
            </w:r>
          </w:p>
        </w:tc>
        <w:tc>
          <w:tcPr>
            <w:tcW w:type="dxa" w:w="3120"/>
            <w:shd w:fill="FFFFFF"/>
            <w:tcMar>
              <w:top w:w="80" w:type="dxa"/>
              <w:bottom w:w="80" w:type="dxa"/>
              <w:left w:w="100" w:type="dxa"/>
              <w:right w:w="100" w:type="dxa"/>
            </w:tcMar>
          </w:tcPr>
          <w:p>
            <w:r>
              <w:t>Large Language Model generating structured JSON question arrays with automated fallback mechanisms.</w:t>
            </w:r>
          </w:p>
        </w:tc>
      </w:tr>
      <w:tr>
        <w:tc>
          <w:tcPr>
            <w:tcW w:type="dxa" w:w="3120"/>
            <w:shd w:fill="F8FAFC"/>
            <w:tcMar>
              <w:top w:w="80" w:type="dxa"/>
              <w:bottom w:w="80" w:type="dxa"/>
              <w:left w:w="100" w:type="dxa"/>
              <w:right w:w="100" w:type="dxa"/>
            </w:tcMar>
          </w:tcPr>
          <w:p>
            <w:r>
              <w:t>Web Server &amp; SSL</w:t>
            </w:r>
          </w:p>
        </w:tc>
        <w:tc>
          <w:tcPr>
            <w:tcW w:type="dxa" w:w="3120"/>
            <w:shd w:fill="F8FAFC"/>
            <w:tcMar>
              <w:top w:w="80" w:type="dxa"/>
              <w:bottom w:w="80" w:type="dxa"/>
              <w:left w:w="100" w:type="dxa"/>
              <w:right w:w="100" w:type="dxa"/>
            </w:tcMar>
          </w:tcPr>
          <w:p>
            <w:r>
              <w:t>Nginx + Let's Encrypt SSL</w:t>
            </w:r>
          </w:p>
        </w:tc>
        <w:tc>
          <w:tcPr>
            <w:tcW w:type="dxa" w:w="3120"/>
            <w:shd w:fill="F8FAFC"/>
            <w:tcMar>
              <w:top w:w="80" w:type="dxa"/>
              <w:bottom w:w="80" w:type="dxa"/>
              <w:left w:w="100" w:type="dxa"/>
              <w:right w:w="100" w:type="dxa"/>
            </w:tcMar>
          </w:tcPr>
          <w:p>
            <w:r>
              <w:t>Reverse proxy server performing TLS termination, HTTP/2 multiplexing, static file caching, and daemon management.</w:t>
            </w:r>
          </w:p>
        </w:tc>
      </w:tr>
    </w:tbl>
    <w:p>
      <w:pPr>
        <w:spacing w:before="360" w:after="120"/>
      </w:pPr>
      <w:r>
        <w:rPr>
          <w:rFonts w:ascii="Calibri" w:hAnsi="Calibri"/>
          <w:b/>
          <w:color w:val="1E3A8A"/>
          <w:sz w:val="32"/>
        </w:rPr>
        <w:t>4. Deep-Dive Module Specifications</w:t>
      </w:r>
    </w:p>
    <w:p>
      <w:pPr>
        <w:spacing w:before="240" w:after="80"/>
      </w:pPr>
      <w:r>
        <w:rPr>
          <w:rFonts w:ascii="Calibri" w:hAnsi="Calibri"/>
          <w:b/>
          <w:color w:val="0284C7"/>
          <w:sz w:val="26"/>
        </w:rPr>
        <w:t>4.1. Authentication &amp; Role-Based Access Control (RBAC)</w:t>
      </w:r>
    </w:p>
    <w:p>
      <w:pPr>
        <w:pStyle w:val="ListBullet"/>
        <w:spacing w:before="40" w:after="40"/>
      </w:pPr>
      <w:r>
        <w:rPr>
          <w:b/>
          <w:color w:val="1E3A8A"/>
        </w:rPr>
        <w:t xml:space="preserve">Login Entry Gate: </w:t>
      </w:r>
      <w:r>
        <w:rPr>
          <w:color w:val="1F2937"/>
        </w:rPr>
        <w:t>Mandatory authentication screen upon initial visit. Users choose Student Login or Admin Login.</w:t>
      </w:r>
    </w:p>
    <w:p>
      <w:pPr>
        <w:pStyle w:val="ListBullet"/>
        <w:spacing w:before="40" w:after="40"/>
      </w:pPr>
      <w:r>
        <w:rPr>
          <w:b/>
          <w:color w:val="1E3A8A"/>
        </w:rPr>
        <w:t xml:space="preserve">Student Access Workflow: </w:t>
      </w:r>
      <w:r>
        <w:rPr>
          <w:color w:val="1F2937"/>
        </w:rPr>
        <w:t>Authenticates candidate credentials and redirects directly to the main Student Dashboard.</w:t>
      </w:r>
    </w:p>
    <w:p>
      <w:pPr>
        <w:pStyle w:val="ListBullet"/>
        <w:spacing w:before="40" w:after="40"/>
      </w:pPr>
      <w:r>
        <w:rPr>
          <w:b/>
          <w:color w:val="1E3A8A"/>
        </w:rPr>
        <w:t xml:space="preserve">Admin Portal Workflow: </w:t>
      </w:r>
      <w:r>
        <w:rPr>
          <w:color w:val="1F2937"/>
        </w:rPr>
        <w:t>Authenticates administrative users and redirects directly to the Executive Admin Portal (activeTab = 'admin') with full upload and management permissions.</w:t>
      </w:r>
    </w:p>
    <w:p>
      <w:pPr>
        <w:spacing w:before="240" w:after="80"/>
      </w:pPr>
      <w:r>
        <w:rPr>
          <w:rFonts w:ascii="Calibri" w:hAnsi="Calibri"/>
          <w:b/>
          <w:color w:val="0284C7"/>
          <w:sz w:val="26"/>
        </w:rPr>
        <w:t>4.2. Materials Explorer (4-Grid Selection Engine)</w:t>
      </w:r>
    </w:p>
    <w:p>
      <w:r>
        <w:t>The Materials Explorer provides an intuitive 4-step selection pipeline for finding study resources:</w:t>
      </w:r>
    </w:p>
    <w:p>
      <w:pPr>
        <w:pStyle w:val="ListBullet"/>
        <w:spacing w:before="40" w:after="40"/>
      </w:pPr>
      <w:r>
        <w:rPr>
          <w:b/>
          <w:color w:val="1E3A8A"/>
        </w:rPr>
        <w:t xml:space="preserve">Grid 1 (Grade Level): </w:t>
      </w:r>
      <w:r>
        <w:rPr>
          <w:color w:val="1F2937"/>
        </w:rPr>
        <w:t>Class 1 through Class 12 interactive selection cards.</w:t>
      </w:r>
    </w:p>
    <w:p>
      <w:pPr>
        <w:pStyle w:val="ListBullet"/>
        <w:spacing w:before="40" w:after="40"/>
      </w:pPr>
      <w:r>
        <w:rPr>
          <w:b/>
          <w:color w:val="1E3A8A"/>
        </w:rPr>
        <w:t xml:space="preserve">Grid 2 (Subject &amp; Medium): </w:t>
      </w:r>
      <w:r>
        <w:rPr>
          <w:color w:val="1F2937"/>
        </w:rPr>
        <w:t>Toggle between Tamil Medium (தமிழ் வழி) and English Medium (ஆங்கில வழி). Grades 1-10 present core subjects (Tamil, English, Maths, Science, Social Science). Grades 11-12 present specialized streams (Physics, Chemistry, Botany, Zoology, Computer Science, Commerce, Economics) and custom subjects.</w:t>
      </w:r>
    </w:p>
    <w:p>
      <w:pPr>
        <w:pStyle w:val="ListBullet"/>
        <w:spacing w:before="40" w:after="40"/>
      </w:pPr>
      <w:r>
        <w:rPr>
          <w:b/>
          <w:color w:val="1E3A8A"/>
        </w:rPr>
        <w:t xml:space="preserve">Grid 3 (Academic Terms): </w:t>
      </w:r>
      <w:r>
        <w:rPr>
          <w:color w:val="1F2937"/>
        </w:rPr>
        <w:t>Filter materials by Term 1, Term 2, or Term 3.</w:t>
      </w:r>
    </w:p>
    <w:p>
      <w:pPr>
        <w:pStyle w:val="ListBullet"/>
        <w:spacing w:before="40" w:after="40"/>
      </w:pPr>
      <w:r>
        <w:rPr>
          <w:b/>
          <w:color w:val="1E3A8A"/>
        </w:rPr>
        <w:t xml:space="preserve">Grid 4 (Preview &amp; Download Center): </w:t>
      </w:r>
      <w:r>
        <w:rPr>
          <w:color w:val="1F2937"/>
        </w:rPr>
        <w:t>Embedded high-resolution inline PDF viewer modal for instant reading without leaving the app, alongside direct file download triggers.</w:t>
      </w:r>
    </w:p>
    <w:p>
      <w:pPr>
        <w:spacing w:before="240" w:after="80"/>
      </w:pPr>
      <w:r>
        <w:rPr>
          <w:rFonts w:ascii="Calibri" w:hAnsi="Calibri"/>
          <w:b/>
          <w:color w:val="0284C7"/>
          <w:sz w:val="26"/>
        </w:rPr>
        <w:t>4.3. 4-Stage Sequential Learning Engine</w:t>
      </w:r>
    </w:p>
    <w:p>
      <w:r>
        <w:t>To ensure comprehensive mastery, each lesson requires sequential completion of 4 locked stages:</w:t>
      </w:r>
    </w:p>
    <w:p>
      <w:pPr>
        <w:pStyle w:val="ListBullet"/>
        <w:spacing w:before="40" w:after="40"/>
      </w:pPr>
      <w:r>
        <w:rPr>
          <w:b/>
          <w:color w:val="1E3A8A"/>
        </w:rPr>
        <w:t xml:space="preserve">Stage 1: PDF Reference Notes: </w:t>
      </w:r>
      <w:r>
        <w:rPr>
          <w:color w:val="1F2937"/>
        </w:rPr>
        <w:t>Student reads the topic reference PDF. Stage 2 unlocks only after clicking 'Mark PDF Read'.</w:t>
      </w:r>
    </w:p>
    <w:p>
      <w:pPr>
        <w:pStyle w:val="ListBullet"/>
        <w:spacing w:before="40" w:after="40"/>
      </w:pPr>
      <w:r>
        <w:rPr>
          <w:b/>
          <w:color w:val="1E3A8A"/>
        </w:rPr>
        <w:t xml:space="preserve">Stage 2: Interactive Video Lecture: </w:t>
      </w:r>
      <w:r>
        <w:rPr>
          <w:color w:val="1F2937"/>
        </w:rPr>
        <w:t>Full-screen video player embedding curated lecture content. Stage 3 unlocks after clicking 'Mark Video Watched'.</w:t>
      </w:r>
    </w:p>
    <w:p>
      <w:pPr>
        <w:pStyle w:val="ListBullet"/>
        <w:spacing w:before="40" w:after="40"/>
      </w:pPr>
      <w:r>
        <w:rPr>
          <w:b/>
          <w:color w:val="1E3A8A"/>
        </w:rPr>
        <w:t xml:space="preserve">Stage 3: 200 AI MCQs Practice Bank: </w:t>
      </w:r>
      <w:r>
        <w:rPr>
          <w:color w:val="1F2937"/>
        </w:rPr>
        <w:t>Dynamic practice set of 200 multiple-choice questions powered by Google Gemini AI with instant answer verification and explanations.</w:t>
      </w:r>
    </w:p>
    <w:p>
      <w:pPr>
        <w:pStyle w:val="ListBullet"/>
        <w:spacing w:before="40" w:after="40"/>
      </w:pPr>
      <w:r>
        <w:rPr>
          <w:b/>
          <w:color w:val="1E3A8A"/>
        </w:rPr>
        <w:t xml:space="preserve">Stage 4: 100 AI Timed Test Exam: </w:t>
      </w:r>
      <w:r>
        <w:rPr>
          <w:color w:val="1F2937"/>
        </w:rPr>
        <w:t>60-minute timed exam environment presenting 100 questions. Scoring &gt;= 60% completes the lesson, unlocks the next lesson in sequence, and increments the daily streak.</w:t>
      </w:r>
    </w:p>
    <w:p>
      <w:pPr>
        <w:spacing w:before="240" w:after="80"/>
      </w:pPr>
      <w:r>
        <w:rPr>
          <w:rFonts w:ascii="Calibri" w:hAnsi="Calibri"/>
          <w:b/>
          <w:color w:val="0284C7"/>
          <w:sz w:val="26"/>
        </w:rPr>
        <w:t>4.4. Gamification &amp; Student Engagement System</w:t>
      </w:r>
    </w:p>
    <w:p>
      <w:pPr>
        <w:pStyle w:val="ListBullet"/>
        <w:spacing w:before="40" w:after="40"/>
      </w:pPr>
      <w:r>
        <w:rPr>
          <w:b/>
          <w:color w:val="1E3A8A"/>
        </w:rPr>
        <w:t xml:space="preserve">Daily Progress Status Bar: </w:t>
      </w:r>
      <w:r>
        <w:rPr>
          <w:color w:val="1F2937"/>
        </w:rPr>
        <w:t>Real-time visual percentage indicator showing daily stage completion.</w:t>
      </w:r>
    </w:p>
    <w:p>
      <w:pPr>
        <w:pStyle w:val="ListBullet"/>
        <w:spacing w:before="40" w:after="40"/>
      </w:pPr>
      <w:r>
        <w:rPr>
          <w:b/>
          <w:color w:val="1E3A8A"/>
        </w:rPr>
        <w:t xml:space="preserve">Active Day Streak Counter: </w:t>
      </w:r>
      <w:r>
        <w:rPr>
          <w:color w:val="1F2937"/>
        </w:rPr>
        <w:t>Prominent 🔥 Day Streak tracker rewarding consistent daily login and study activity.</w:t>
      </w:r>
    </w:p>
    <w:p>
      <w:pPr>
        <w:pStyle w:val="ListBullet"/>
        <w:spacing w:before="40" w:after="40"/>
      </w:pPr>
      <w:r>
        <w:rPr>
          <w:b/>
          <w:color w:val="1E3A8A"/>
        </w:rPr>
        <w:t xml:space="preserve">Milestone Badges: </w:t>
      </w:r>
      <w:r>
        <w:rPr>
          <w:color w:val="1F2937"/>
        </w:rPr>
        <w:t>Automated badge unlocking: Quick Starter (3 Days), Bronze Scholar (7 Days), Silver Academic (25 Days), and 50-Streak Diamond Legend (50 Days).</w:t>
      </w:r>
    </w:p>
    <w:p>
      <w:pPr>
        <w:spacing w:before="240" w:after="80"/>
      </w:pPr>
      <w:r>
        <w:rPr>
          <w:rFonts w:ascii="Calibri" w:hAnsi="Calibri"/>
          <w:b/>
          <w:color w:val="0284C7"/>
          <w:sz w:val="26"/>
        </w:rPr>
        <w:t>4.5. Executive Admin Management Portal</w:t>
      </w:r>
    </w:p>
    <w:p>
      <w:pPr>
        <w:pStyle w:val="ListBullet"/>
        <w:spacing w:before="40" w:after="40"/>
      </w:pPr>
      <w:r>
        <w:rPr>
          <w:b/>
          <w:color w:val="1E3A8A"/>
        </w:rPr>
        <w:t xml:space="preserve">Dedicated Upload Workflows: </w:t>
      </w:r>
      <w:r>
        <w:rPr>
          <w:color w:val="1F2937"/>
        </w:rPr>
        <w:t>Separate tabs for Materials Explorer PDFs vs Learning Portal 4-stage lesson modules.</w:t>
      </w:r>
    </w:p>
    <w:p>
      <w:pPr>
        <w:pStyle w:val="ListBullet"/>
        <w:spacing w:before="40" w:after="40"/>
      </w:pPr>
      <w:r>
        <w:rPr>
          <w:b/>
          <w:color w:val="1E3A8A"/>
        </w:rPr>
        <w:t xml:space="preserve">Dynamic Subject Management: </w:t>
      </w:r>
      <w:r>
        <w:rPr>
          <w:color w:val="1F2937"/>
        </w:rPr>
        <w:t>Add custom subjects for specialized Higher Secondary streams instantly.</w:t>
      </w:r>
    </w:p>
    <w:p>
      <w:pPr>
        <w:pStyle w:val="ListBullet"/>
        <w:spacing w:before="40" w:after="40"/>
      </w:pPr>
      <w:r>
        <w:rPr>
          <w:b/>
          <w:color w:val="1E3A8A"/>
        </w:rPr>
        <w:t xml:space="preserve">Gemini AI Configurator: </w:t>
      </w:r>
      <w:r>
        <w:rPr>
          <w:color w:val="1F2937"/>
        </w:rPr>
        <w:t>Input and manage Gemini API keys with direct link to Google AI Studio.</w:t>
      </w:r>
    </w:p>
    <w:p>
      <w:pPr>
        <w:pStyle w:val="ListBullet"/>
        <w:spacing w:before="40" w:after="40"/>
      </w:pPr>
      <w:r>
        <w:rPr>
          <w:b/>
          <w:color w:val="1E3A8A"/>
        </w:rPr>
        <w:t xml:space="preserve">Toast Alert System: </w:t>
      </w:r>
      <w:r>
        <w:rPr>
          <w:color w:val="1F2937"/>
        </w:rPr>
        <w:t>Top-right glassmorphic dynamic toast notifications providing real-time operational feedback.</w:t>
      </w:r>
    </w:p>
    <w:p>
      <w:pPr>
        <w:spacing w:before="360" w:after="120"/>
      </w:pPr>
      <w:r>
        <w:rPr>
          <w:rFonts w:ascii="Calibri" w:hAnsi="Calibri"/>
          <w:b/>
          <w:color w:val="1E3A8A"/>
          <w:sz w:val="32"/>
        </w:rPr>
        <w:t>5. Google Gemini AI Engine Architecture &amp; Fallback Resiliency</w:t>
      </w:r>
    </w:p>
    <w:p>
      <w:r>
        <w:t>The platform utilizes Google Gemini 1.5 Flash AI for automated evaluation and question generation. To ensure uninterrupted service, the platform includes a Zero-Cost Smart Fallback Engine.</w:t>
      </w:r>
    </w:p>
    <w:tbl>
      <w:tblPr>
        <w:tblW w:type="auto" w:w="0"/>
        <w:tblLook w:firstColumn="1" w:firstRow="1" w:lastColumn="0" w:lastRow="0" w:noHBand="0" w:noVBand="1" w:val="04A0"/>
        <w:tblBorders>
          <w:top w:val="single" w:sz="4" w:space="0" w:color="0284C7"/>
          <w:bottom w:val="single" w:sz="4" w:space="0" w:color="0284C7"/>
          <w:insideH w:val="single" w:sz="4" w:space="0" w:color="0284C7"/>
          <w:insideV w:val="none"/>
          <w:left w:val="none"/>
          <w:right w:val="none"/>
        </w:tblBorders>
      </w:tblPr>
      <w:tblGrid>
        <w:gridCol w:w="9360"/>
      </w:tblGrid>
      <w:tr>
        <w:tc>
          <w:tcPr>
            <w:tcW w:type="dxa" w:w="9360"/>
            <w:shd w:fill="F0FDF4"/>
            <w:tcMar>
              <w:top w:w="120" w:type="dxa"/>
              <w:bottom w:w="120" w:type="dxa"/>
              <w:left w:w="150" w:type="dxa"/>
              <w:right w:w="150" w:type="dxa"/>
            </w:tcMar>
          </w:tcPr>
          <w:p>
            <w:r>
              <w:rPr>
                <w:b/>
                <w:color w:val="1E3A8A"/>
              </w:rPr>
              <w:t>AI Resiliency &amp; Automated Fallback Mechanism:</w:t>
              <w:br/>
            </w:r>
            <w:r>
              <w:t>1. Dynamic Prompt Construction: Formats subject, class level, medium, and topic into structured JSON prompts.</w:t>
              <w:br/>
              <w:t>2. Rate Limit &amp; Error Handling: Automatically detects API quota limits (1,500 requests/day free allowance) or network timeouts.</w:t>
              <w:br/>
              <w:t>3. Zero-Cost Smart Fallback Engine: Seamlessly switches to local curriculum-aligned fallback question repositories if API key is unconfigured or rate limits are reached.</w:t>
              <w:br/>
              <w:t>4. Output Parsing &amp; Sanitization: Validates question structure, options array, correct option index, and explanation string prior to rendering.</w:t>
            </w:r>
          </w:p>
        </w:tc>
      </w:tr>
    </w:tbl>
    <w:p>
      <w:pPr>
        <w:spacing w:before="360" w:after="120"/>
      </w:pPr>
      <w:r>
        <w:rPr>
          <w:rFonts w:ascii="Calibri" w:hAnsi="Calibri"/>
          <w:b/>
          <w:color w:val="1E3A8A"/>
          <w:sz w:val="32"/>
        </w:rPr>
        <w:t>6. Data Persistence &amp; Synchronization Strategy</w:t>
      </w:r>
    </w:p>
    <w:p>
      <w:r>
        <w:t>To provide instant offline resiliency and stateless cloud deployment support (e.g. Vercel static previews alongside VPS production), the platform implements a dual-layer persistence model:</w:t>
      </w:r>
    </w:p>
    <w:p>
      <w:pPr>
        <w:pStyle w:val="ListBullet"/>
        <w:spacing w:before="40" w:after="40"/>
      </w:pPr>
      <w:r>
        <w:rPr>
          <w:b/>
          <w:color w:val="1E3A8A"/>
        </w:rPr>
        <w:t xml:space="preserve">Layer 1 (Client-Side LocalStorage Persistence): </w:t>
      </w:r>
      <w:r>
        <w:rPr>
          <w:color w:val="1F2937"/>
        </w:rPr>
        <w:t>Uploaded materials and lesson definitions created in the Admin Portal are instantly cached in browser local storage (saveUploadedMaterialClient &amp; saveUploadedLessonClient). This ensures uploaded materials persist across browser reloads even on stateless deployments.</w:t>
      </w:r>
    </w:p>
    <w:p>
      <w:pPr>
        <w:pStyle w:val="ListBullet"/>
        <w:spacing w:before="40" w:after="40"/>
      </w:pPr>
      <w:r>
        <w:rPr>
          <w:b/>
          <w:color w:val="1E3A8A"/>
        </w:rPr>
        <w:t xml:space="preserve">Layer 2 (Relational Database Storage): </w:t>
      </w:r>
      <w:r>
        <w:rPr>
          <w:color w:val="1F2937"/>
        </w:rPr>
        <w:t>FastAPI syncs user credentials, test scores, streak counters, and curriculum records to SQLite/PostgreSQL on the VPS server.</w:t>
      </w:r>
    </w:p>
    <w:p>
      <w:pPr>
        <w:spacing w:before="360" w:after="120"/>
      </w:pPr>
      <w:r>
        <w:rPr>
          <w:rFonts w:ascii="Calibri" w:hAnsi="Calibri"/>
          <w:b/>
          <w:color w:val="1E3A8A"/>
          <w:sz w:val="32"/>
        </w:rPr>
        <w:t>7. Production Deployment Blueprint (BigRock VPS)</w:t>
      </w:r>
    </w:p>
    <w:p>
      <w:r>
        <w:t>Step-by-step production configuration instructions for domain tnteachers.in:</w:t>
      </w:r>
    </w:p>
    <w:p>
      <w:pPr>
        <w:spacing w:before="240" w:after="80"/>
      </w:pPr>
      <w:r>
        <w:rPr>
          <w:rFonts w:ascii="Calibri" w:hAnsi="Calibri"/>
          <w:b/>
          <w:color w:val="0284C7"/>
          <w:sz w:val="26"/>
        </w:rPr>
        <w:t>Step 1: System Package &amp; Dependency Installation</w:t>
      </w:r>
    </w:p>
    <w:tbl>
      <w:tblPr>
        <w:tblW w:type="auto" w:w="0"/>
        <w:tblLook w:firstColumn="1" w:firstRow="1" w:lastColumn="0" w:lastRow="0" w:noHBand="0" w:noVBand="1" w:val="04A0"/>
      </w:tblPr>
      <w:tblGrid>
        <w:gridCol w:w="9360"/>
      </w:tblGrid>
      <w:tr>
        <w:tc>
          <w:tcPr>
            <w:tcW w:type="dxa" w:w="9360"/>
            <w:shd w:fill="1E293B"/>
            <w:tcMar>
              <w:top w:w="100" w:type="dxa"/>
              <w:bottom w:w="100" w:type="dxa"/>
              <w:left w:w="120" w:type="dxa"/>
              <w:right w:w="120" w:type="dxa"/>
            </w:tcMar>
          </w:tcPr>
          <w:p>
            <w:r>
              <w:rPr>
                <w:rFonts w:ascii="Consolas" w:hAnsi="Consolas"/>
                <w:color w:val="38BDF8"/>
                <w:sz w:val="19"/>
              </w:rPr>
              <w:t>ssh root@tnteachers.in</w:t>
              <w:br/>
              <w:t>apt update &amp;&amp; apt upgrade -y</w:t>
              <w:br/>
              <w:t>apt install -y curl git python3-pip python3-venv nginx certbot python3-certbot-nginx</w:t>
              <w:br/>
              <w:t>curl -fsSL https://deb.nodesource.com/setup_20.x | bash - &amp;&amp; apt install -y nodejs</w:t>
            </w:r>
          </w:p>
        </w:tc>
      </w:tr>
    </w:tbl>
    <w:p>
      <w:pPr>
        <w:spacing w:before="240" w:after="80"/>
      </w:pPr>
      <w:r>
        <w:rPr>
          <w:rFonts w:ascii="Calibri" w:hAnsi="Calibri"/>
          <w:b/>
          <w:color w:val="0284C7"/>
          <w:sz w:val="26"/>
        </w:rPr>
        <w:t>Step 2: Codebase Repository Setup &amp; Backend Service</w:t>
      </w:r>
    </w:p>
    <w:tbl>
      <w:tblPr>
        <w:tblW w:type="auto" w:w="0"/>
        <w:tblLook w:firstColumn="1" w:firstRow="1" w:lastColumn="0" w:lastRow="0" w:noHBand="0" w:noVBand="1" w:val="04A0"/>
      </w:tblPr>
      <w:tblGrid>
        <w:gridCol w:w="9360"/>
      </w:tblGrid>
      <w:tr>
        <w:tc>
          <w:tcPr>
            <w:tcW w:type="dxa" w:w="9360"/>
            <w:shd w:fill="1E293B"/>
            <w:tcMar>
              <w:top w:w="100" w:type="dxa"/>
              <w:bottom w:w="100" w:type="dxa"/>
              <w:left w:w="120" w:type="dxa"/>
              <w:right w:w="120" w:type="dxa"/>
            </w:tcMar>
          </w:tcPr>
          <w:p>
            <w:r>
              <w:rPr>
                <w:rFonts w:ascii="Consolas" w:hAnsi="Consolas"/>
                <w:color w:val="38BDF8"/>
                <w:sz w:val="19"/>
              </w:rPr>
              <w:t>cd /var/www</w:t>
              <w:br/>
              <w:t>git clone https://github.com/tho-mas12/TET.git tnteachers.in</w:t>
              <w:br/>
              <w:t>cd /var/www/tnteachers.in/backend</w:t>
              <w:br/>
              <w:t>python3 -m venv venv</w:t>
              <w:br/>
              <w:t>source venv/bin/activate</w:t>
              <w:br/>
              <w:t>pip install -r requirements.txt</w:t>
              <w:br/>
              <w:t>systemctl daemon-reload &amp;&amp; systemctl enable --now tet-backend</w:t>
            </w:r>
          </w:p>
        </w:tc>
      </w:tr>
    </w:tbl>
    <w:p>
      <w:pPr>
        <w:spacing w:before="240" w:after="80"/>
      </w:pPr>
      <w:r>
        <w:rPr>
          <w:rFonts w:ascii="Calibri" w:hAnsi="Calibri"/>
          <w:b/>
          <w:color w:val="0284C7"/>
          <w:sz w:val="26"/>
        </w:rPr>
        <w:t>Step 3: Frontend Asset Compilation</w:t>
      </w:r>
    </w:p>
    <w:tbl>
      <w:tblPr>
        <w:tblW w:type="auto" w:w="0"/>
        <w:tblLook w:firstColumn="1" w:firstRow="1" w:lastColumn="0" w:lastRow="0" w:noHBand="0" w:noVBand="1" w:val="04A0"/>
      </w:tblPr>
      <w:tblGrid>
        <w:gridCol w:w="9360"/>
      </w:tblGrid>
      <w:tr>
        <w:tc>
          <w:tcPr>
            <w:tcW w:type="dxa" w:w="9360"/>
            <w:shd w:fill="1E293B"/>
            <w:tcMar>
              <w:top w:w="100" w:type="dxa"/>
              <w:bottom w:w="100" w:type="dxa"/>
              <w:left w:w="120" w:type="dxa"/>
              <w:right w:w="120" w:type="dxa"/>
            </w:tcMar>
          </w:tcPr>
          <w:p>
            <w:r>
              <w:rPr>
                <w:rFonts w:ascii="Consolas" w:hAnsi="Consolas"/>
                <w:color w:val="38BDF8"/>
                <w:sz w:val="19"/>
              </w:rPr>
              <w:t>cd /var/www/tnteachers.in/frontend</w:t>
              <w:br/>
              <w:t>npm install</w:t>
              <w:br/>
              <w:t>npm run build</w:t>
            </w:r>
          </w:p>
        </w:tc>
      </w:tr>
    </w:tbl>
    <w:p>
      <w:pPr>
        <w:spacing w:before="240" w:after="80"/>
      </w:pPr>
      <w:r>
        <w:rPr>
          <w:rFonts w:ascii="Calibri" w:hAnsi="Calibri"/>
          <w:b/>
          <w:color w:val="0284C7"/>
          <w:sz w:val="26"/>
        </w:rPr>
        <w:t>Step 4: Nginx Reverse Proxy &amp; SSL Configuration</w:t>
      </w:r>
    </w:p>
    <w:tbl>
      <w:tblPr>
        <w:tblW w:type="auto" w:w="0"/>
        <w:tblLook w:firstColumn="1" w:firstRow="1" w:lastColumn="0" w:lastRow="0" w:noHBand="0" w:noVBand="1" w:val="04A0"/>
      </w:tblPr>
      <w:tblGrid>
        <w:gridCol w:w="9360"/>
      </w:tblGrid>
      <w:tr>
        <w:tc>
          <w:tcPr>
            <w:tcW w:type="dxa" w:w="9360"/>
            <w:shd w:fill="1E293B"/>
            <w:tcMar>
              <w:top w:w="100" w:type="dxa"/>
              <w:bottom w:w="100" w:type="dxa"/>
              <w:left w:w="120" w:type="dxa"/>
              <w:right w:w="120" w:type="dxa"/>
            </w:tcMar>
          </w:tcPr>
          <w:p>
            <w:r>
              <w:rPr>
                <w:rFonts w:ascii="Consolas" w:hAnsi="Consolas"/>
                <w:color w:val="38BDF8"/>
                <w:sz w:val="19"/>
              </w:rPr>
              <w:t>ln -s /etc/nginx/sites-available/tnteachers.in /etc/nginx/sites-enabled/</w:t>
              <w:br/>
              <w:t>nginx -t &amp;&amp; systemctl reload nginx</w:t>
              <w:br/>
              <w:t>certbot --nginx -d tnteachers.in -d www.tnteachers.in</w:t>
            </w:r>
          </w:p>
        </w:tc>
      </w:tr>
    </w:tbl>
    <w:p>
      <w:pPr>
        <w:spacing w:before="360" w:after="120"/>
      </w:pPr>
      <w:r>
        <w:rPr>
          <w:rFonts w:ascii="Calibri" w:hAnsi="Calibri"/>
          <w:b/>
          <w:color w:val="1E3A8A"/>
          <w:sz w:val="32"/>
        </w:rPr>
        <w:t>8. Technical Sign-Off &amp; Verification</w:t>
      </w:r>
    </w:p>
    <w:p>
      <w:r>
        <w:t>This document establishes the official technical specification and operational proof of concept for the TET Platform (tnteachers.in). All core modules, AI integrations, translation engines, and administrative portals are fully validated and production-ready.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