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银叶杯回测报告</w:t>
      </w:r>
    </w:p>
    <w:p>
      <w:r>
        <w:t>小组：三个臭诸葛亮。</w:t>
      </w:r>
    </w:p>
    <w:p>
      <w:r>
        <w:t>回测对象为最终提交的单一因子 ultimate_lgb。报告只说明该因子的回测口径、指标定义和最终结果。</w:t>
      </w:r>
    </w:p>
    <w:p>
      <w:pPr>
        <w:pStyle w:val="Heading1"/>
      </w:pPr>
      <w:r>
        <w:t>一、回测对象与样本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因子名称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ultimate_lgb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因子矩阵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970 个交易日 × 5515 只股票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日期范围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2020-01-02 至 2023-12-29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样本内区间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2020-2022 年，共 728 个交易日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样本外区间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2023 年，共 242 个交易日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因子值处理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每日截面缩尾、标准化后用于排序</w:t>
            </w:r>
          </w:p>
        </w:tc>
      </w:tr>
    </w:tbl>
    <w:p/>
    <w:p>
      <w:pPr>
        <w:pStyle w:val="Heading1"/>
      </w:pPr>
      <w:r>
        <w:t>二、回测方式</w:t>
      </w:r>
    </w:p>
    <w:p>
      <w:r>
        <w:t>每个交易日收盘后计算当日因子值，并按股票截面从高到低排序。回测组合取因子值最高的 Top10% 股票，收益标签为平台对齐后的未来五日收益。当日 Top10% 超额收益定义为 Top10% 股票未来五日收益均值减去当日可交易股票池未来五日收益均值。</w:t>
      </w:r>
    </w:p>
    <w:p>
      <w:r>
        <w:t>样本内区间用于因子构建、模型训练和参数确定；样本外区间用于最终验证。所有统计指标均在对应区间内逐日计算后汇总。</w:t>
      </w:r>
    </w:p>
    <w:p>
      <w:r>
        <w:br w:type="page"/>
      </w:r>
    </w:p>
    <w:p>
      <w:pPr>
        <w:pStyle w:val="Heading1"/>
      </w:pPr>
      <w:r>
        <w:t>三、指标定义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计算方式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Pearson IC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每日因子值与未来五日收益在股票截面上的 Pearson 相关系数，之后对区间内每日 IC 取平均。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年化超额收益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Top10% 每日超额收益均值 × 250。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Sharpe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Top10% 每日超额收益均值 / 每日超额收益标准差 × sqrt(250)。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最大回撤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累计 Top10% 超额收益曲线相对历史高点的最大回撤。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换手率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相邻交易日 Top10% 股票组合变动比例的平均值。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正收益日比例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Top10% 每日超额收益大于 0 的交易日占比。</w:t>
            </w:r>
          </w:p>
        </w:tc>
      </w:tr>
    </w:tbl>
    <w:p/>
    <w:p>
      <w:pPr>
        <w:pStyle w:val="Heading1"/>
      </w:pPr>
      <w:r>
        <w:t>四、回测结果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区间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天数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IC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年化超额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Sharpe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最大回撤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换手率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正收益日比例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IS 2020-2022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728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0.0538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78.01%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11.3550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6.12%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50.54%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78.43%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OS 2023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242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0.0507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50.77%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11.7510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1.35%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49.18%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9"/>
              </w:rPr>
              <w:t>78.10%</w:t>
            </w:r>
          </w:p>
        </w:tc>
      </w:tr>
    </w:tbl>
    <w:p/>
    <w:p>
      <w:pPr>
        <w:pStyle w:val="Heading1"/>
      </w:pPr>
      <w:r>
        <w:t>五、样本外累计超额收益曲线</w:t>
      </w:r>
    </w:p>
    <w:p>
      <w:r>
        <w:drawing>
          <wp:inline xmlns:a="http://schemas.openxmlformats.org/drawingml/2006/main" xmlns:pic="http://schemas.openxmlformats.org/drawingml/2006/picture">
            <wp:extent cx="5303520" cy="2568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inal_lgb_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88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银叶杯回测报告</dc:title>
  <dc:subject>final factor backtest report</dc:subject>
  <dc:creator>Silver Leaf Cup</dc:creator>
  <ns0:keywords/>
  <dc:description/>
  <ns0:lastModifiedBy>Silver Leaf Cup</ns0:lastModifiedBy>
  <ns0:revision>1</ns0:revision>
  <ns2:created xsi:type="dcterms:W3CDTF">2013-12-23T23:15:00Z</ns2:created>
  <ns2:modified xsi:type="dcterms:W3CDTF">2013-12-23T23:15:00Z</ns2:modified>
  <ns0:category/>
</ns0:coreProperties>
</file>