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 w:line="274" w:lineRule="auto"/>
      </w:pPr>
      <w:r>
        <w:rPr>
          <w:rFonts w:ascii="Calibri" w:hAnsi="Calibri"/>
          <w:b/>
          <w:i w:val="0"/>
          <w:color w:val="5A6472"/>
          <w:sz w:val="22"/>
        </w:rPr>
        <w:t>E-COMMERCE 2026 TEXTBOOK · SBI PROGRAMME</w:t>
      </w:r>
    </w:p>
    <w:p>
      <w:pPr>
        <w:spacing w:before="40" w:after="120"/>
        <w:pBdr>
          <w:bottom w:val="single" w:sz="12" w:space="4" w:color="16224A"/>
        </w:pBdr>
      </w:pPr>
    </w:p>
    <w:p>
      <w:pPr>
        <w:spacing w:before="120" w:after="120"/>
      </w:pPr>
      <w:r>
        <w:rPr>
          <w:rFonts w:ascii="Cambria" w:hAnsi="Cambria"/>
          <w:b/>
          <w:color w:val="16224A"/>
          <w:sz w:val="52"/>
        </w:rPr>
        <w:t>CASE STUDY PRESENTATION GUIDE</w:t>
      </w:r>
    </w:p>
    <w:p>
      <w:pPr>
        <w:spacing w:before="0" w:after="280" w:line="274" w:lineRule="auto"/>
      </w:pPr>
      <w:r>
        <w:rPr>
          <w:rFonts w:ascii="Calibri" w:hAnsi="Calibri"/>
          <w:b w:val="0"/>
          <w:i/>
          <w:color w:val="1F4E79"/>
          <w:sz w:val="27"/>
        </w:rPr>
        <w:t>A role framework ensuring every member of a 4–6 person team must present</w:t>
      </w:r>
    </w:p>
    <w:p>
      <w:pPr>
        <w:spacing w:before="160" w:after="80" w:line="274" w:lineRule="auto"/>
      </w:pPr>
      <w:r>
        <w:rPr>
          <w:rFonts w:ascii="Calibri" w:hAnsi="Calibri"/>
          <w:b w:val="0"/>
          <w:i/>
          <w:color w:val="5A6472"/>
          <w:sz w:val="21"/>
        </w:rPr>
        <w:t>Applies to all 24 case studies in the course. Core principle: no member is there merely to make up the numbers.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6224A"/>
            <w:tcBorders>
              <w:top w:val="single" w:sz="6" w:space="4" w:color="16224A"/>
              <w:bottom w:val="single" w:sz="6" w:space="4" w:color="16224A"/>
              <w:right w:val="single" w:sz="6" w:space="4" w:color="16224A"/>
              <w:left w:val="single" w:sz="6" w:space="4" w:color="16224A"/>
            </w:tcBorders>
            <w:tcMar>
              <w:top w:w="80" w:type="dxa"/>
              <w:bottom w:w="80" w:type="dxa"/>
              <w:start w:w="140" w:type="dxa"/>
              <w:end w:w="140" w:type="dxa"/>
            </w:tcMar>
            <w:tcMar>
              <w:top w:w="200" w:type="dxa"/>
              <w:bottom w:w="200" w:type="dxa"/>
              <w:start w:w="260" w:type="dxa"/>
              <w:end w:w="260" w:type="dxa"/>
            </w:tcMar>
          </w:tcPr>
          <w:p>
            <w:pPr>
              <w:spacing w:after="160"/>
              <w:jc w:val="center"/>
            </w:pPr>
            <w:r/>
            <w:r>
              <w:rPr>
                <w:rFonts w:ascii="Calibri" w:hAnsi="Calibri"/>
                <w:b/>
                <w:color w:val="8FA3C8"/>
                <w:sz w:val="17"/>
                <w:spacing w:val="40"/>
              </w:rPr>
              <w:t>PRINCIPLE</w:t>
            </w:r>
          </w:p>
          <w:p>
            <w:pPr>
              <w:spacing w:after="0" w:line="300" w:lineRule="auto"/>
              <w:jc w:val="center"/>
            </w:pPr>
            <w:r>
              <w:rPr>
                <w:rFonts w:ascii="Cambria" w:hAnsi="Cambria"/>
                <w:b/>
                <w:i/>
                <w:color w:val="FFD98A"/>
                <w:sz w:val="32"/>
              </w:rPr>
              <w:t>A group presentation only has assessment value when the audience can point at any member, ask a question — and receive a reasoned answer.</w:t>
            </w:r>
          </w:p>
          <w:p>
            <w:pPr>
              <w:spacing w:before="160" w:after="0"/>
              <w:jc w:val="center"/>
            </w:pPr>
            <w:r>
              <w:rPr>
                <w:rFonts w:ascii="Calibri" w:hAnsi="Calibri"/>
                <w:b w:val="0"/>
                <w:i/>
                <w:color w:val="C7D3EA"/>
                <w:sz w:val="21"/>
              </w:rPr>
              <w:t>The framework below therefore splits the presentation into six independent roles, each tied to one part of the content and one type of question.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1</w:t>
      </w:r>
      <w:r>
        <w:rPr>
          <w:rFonts w:ascii="Cambria" w:hAnsi="Cambria"/>
          <w:b/>
          <w:color w:val="16224A"/>
          <w:sz w:val="30"/>
        </w:rPr>
        <w:t xml:space="preserve">  Format overview</w:t>
      </w:r>
    </w:p>
    <w:p>
      <w:pPr>
        <w:spacing w:before="0" w:after="40" w:line="274" w:lineRule="auto"/>
      </w:pPr>
      <w:r>
        <w:rPr>
          <w:rFonts w:ascii="Calibri" w:hAnsi="Calibri"/>
          <w:b/>
          <w:i/>
          <w:color w:val="5A6472"/>
          <w:sz w:val="19"/>
        </w:rPr>
        <w:t>Table 1. Standard format for one case presentation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4706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Team size</w:t>
            </w:r>
          </w:p>
        </w:tc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4–6 students</w:t>
            </w:r>
          </w:p>
        </w:tc>
      </w:tr>
      <w:tr>
        <w:tc>
          <w:tcPr>
            <w:tcW w:type="dxa" w:w="4706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Presentation time</w:t>
            </w:r>
          </w:p>
        </w:tc>
        <w:tc>
          <w:tcPr>
            <w:tcW w:type="dxa" w:w="4706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18–20 minutes (3–4 minutes per role)</w:t>
            </w:r>
          </w:p>
        </w:tc>
      </w:tr>
      <w:tr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Q&amp;A</w:t>
            </w:r>
          </w:p>
        </w:tc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8–10 minutes; every member must answer at least one question</w:t>
            </w:r>
          </w:p>
        </w:tc>
      </w:tr>
      <w:tr>
        <w:tc>
          <w:tcPr>
            <w:tcW w:type="dxa" w:w="4706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Number of slides</w:t>
            </w:r>
          </w:p>
        </w:tc>
        <w:tc>
          <w:tcPr>
            <w:tcW w:type="dxa" w:w="4706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14–18 slides, excluding the cover and source slides</w:t>
            </w:r>
          </w:p>
        </w:tc>
      </w:tr>
      <w:tr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Deliverables</w:t>
            </w:r>
          </w:p>
        </w:tc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Slides (PDF + source file) · Role allocation sheet · Reference list</w:t>
            </w:r>
          </w:p>
        </w:tc>
      </w:tr>
      <w:tr>
        <w:tc>
          <w:tcPr>
            <w:tcW w:type="dxa" w:w="4706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Submission deadline</w:t>
            </w:r>
          </w:p>
        </w:tc>
        <w:tc>
          <w:tcPr>
            <w:tcW w:type="dxa" w:w="4706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24 hours before the session, so the instructor can prepare challenge questions</w:t>
            </w:r>
          </w:p>
        </w:tc>
      </w:tr>
      <w:tr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Marking</w:t>
            </w:r>
          </w:p>
        </w:tc>
        <w:tc>
          <w:tcPr>
            <w:tcW w:type="dxa" w:w="4706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80% team mark + 20% individual mark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2</w:t>
      </w:r>
      <w:r>
        <w:rPr>
          <w:rFonts w:ascii="Cambria" w:hAnsi="Cambria"/>
          <w:b/>
          <w:color w:val="16224A"/>
          <w:sz w:val="30"/>
        </w:rPr>
        <w:t xml:space="preserve">  The six presenting roles</w:t>
      </w:r>
    </w:p>
    <w:p>
      <w:pPr>
        <w:spacing w:before="0" w:after="120" w:line="274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Each role owns one link in the chain of reasoning. The order of the roles is the order of the presentation, moving from </w:t>
      </w:r>
      <w:r>
        <w:rPr>
          <w:rFonts w:ascii="Calibri" w:hAnsi="Calibri"/>
          <w:b w:val="0"/>
          <w:i/>
          <w:color w:val="1A1A1A"/>
          <w:sz w:val="22"/>
        </w:rPr>
        <w:t>context</w:t>
      </w:r>
      <w:r>
        <w:rPr>
          <w:rFonts w:ascii="Calibri" w:hAnsi="Calibri"/>
          <w:b w:val="0"/>
          <w:i w:val="0"/>
          <w:color w:val="1A1A1A"/>
          <w:sz w:val="22"/>
        </w:rPr>
        <w:t xml:space="preserve"> to </w:t>
      </w:r>
      <w:r>
        <w:rPr>
          <w:rFonts w:ascii="Calibri" w:hAnsi="Calibri"/>
          <w:b w:val="0"/>
          <w:i/>
          <w:color w:val="1A1A1A"/>
          <w:sz w:val="22"/>
        </w:rPr>
        <w:t>decision</w:t>
      </w:r>
      <w:r>
        <w:rPr>
          <w:rFonts w:ascii="Calibri" w:hAnsi="Calibri"/>
          <w:b w:val="0"/>
          <w:i w:val="0"/>
          <w:color w:val="1A1A1A"/>
          <w:sz w:val="22"/>
        </w:rPr>
        <w:t>.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4F7FB"/>
            <w:tcBorders>
              <w:top w:val="single" w:sz="6" w:space="4" w:color="1F4E79"/>
              <w:bottom w:val="single" w:sz="6" w:space="4" w:color="1F4E79"/>
              <w:right w:val="single" w:sz="6" w:space="4" w:color="1F4E79"/>
              <w:left w:val="single" w:sz="6" w:space="4" w:color="1F4E79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16224A"/>
                <w:sz w:val="23"/>
              </w:rPr>
              <w:t>Context → Mechanism → Numbers → Critique → Transfer → Decision</w:t>
            </w:r>
          </w:p>
        </w:tc>
      </w:tr>
    </w:tbl>
    <w:p>
      <w:pPr>
        <w:spacing w:after="80"/>
      </w:pPr>
    </w:p>
    <w:p>
      <w:pPr>
        <w:spacing w:before="0" w:after="40" w:line="274" w:lineRule="auto"/>
      </w:pPr>
      <w:r>
        <w:rPr>
          <w:rFonts w:ascii="Calibri" w:hAnsi="Calibri"/>
          <w:b/>
          <w:i/>
          <w:color w:val="5A6472"/>
          <w:sz w:val="19"/>
        </w:rPr>
        <w:t>Table 2. Duties, timing and assessment focus of each role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they present</w:t>
            </w:r>
          </w:p>
        </w:tc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Min.</w:t>
            </w:r>
          </w:p>
        </w:tc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Must be able to answer</w:t>
            </w:r>
          </w:p>
        </w:tc>
      </w:tr>
      <w:tr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R1 — Context setter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Company context, the central problem, why this case belongs to the chapter being studied.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3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“If this case were removed from the chapter, what would the class lose?”</w:t>
            </w:r>
          </w:p>
        </w:tc>
      </w:tr>
      <w:tr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R2 — Model analyst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The business model: creating, delivering and capturing value. Reconstruct the operating mechanism.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4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“Where does this business actually make its money?”</w:t>
            </w:r>
          </w:p>
        </w:tc>
      </w:tr>
      <w:tr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R3 — Data analyst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Figures, KPIs, unit economics. At least one calculation shown on a slide.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4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“Which number proves what you just said?”</w:t>
            </w:r>
          </w:p>
        </w:tc>
      </w:tr>
      <w:tr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R4 — Critic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Downsides, risks, the assumptions most likely to be wrong, the conditions under which the model fails.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3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“What has to be true for your conclusion to hold?”</w:t>
            </w:r>
          </w:p>
        </w:tc>
      </w:tr>
      <w:tr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R5 — Transfer lead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Conditions for transferring to the Vietnamese context: what applies, what does not.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3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“Which part could a Vietnamese firm actually copy?”</w:t>
            </w:r>
          </w:p>
        </w:tc>
      </w:tr>
      <w:tr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R6 — Decision lead &amp; moderator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Three lessons, the team's management decision, moderating the Q&amp;A.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3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“As CEO, what does the team decide, and why?”</w:t>
            </w:r>
          </w:p>
        </w:tc>
      </w:tr>
    </w:tbl>
    <w:p>
      <w:pPr>
        <w:spacing w:after="40"/>
      </w:pP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BE8"/>
            <w:tcBorders>
              <w:top w:val="single" w:sz="6" w:space="4" w:color="C0392B"/>
              <w:bottom w:val="single" w:sz="6" w:space="4" w:color="C0392B"/>
              <w:right w:val="single" w:sz="6" w:space="4" w:color="C0392B"/>
              <w:left w:val="single" w:sz="30" w:space="4" w:color="C0392B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C0392B"/>
                <w:sz w:val="18"/>
                <w:spacing w:val="30"/>
              </w:rPr>
              <w:t>CAUTION &amp; RISK</w:t>
            </w:r>
          </w:p>
          <w:p>
            <w:pPr>
              <w:spacing w:before="0" w:after="80" w:line="274" w:lineRule="auto"/>
            </w:pPr>
            <w:r>
              <w:rPr>
                <w:rFonts w:ascii="Calibri" w:hAnsi="Calibri"/>
                <w:b/>
                <w:i w:val="0"/>
                <w:color w:val="16224A"/>
                <w:sz w:val="25"/>
              </w:rPr>
              <w:t>Three mistakes that cost heavy marks</w:t>
            </w:r>
          </w:p>
          <w:p>
            <w:pPr>
              <w:spacing w:after="60" w:line="269" w:lineRule="auto"/>
              <w:ind w:left="340" w:hanging="198"/>
            </w:pPr>
            <w:r>
              <w:rPr>
                <w:rFonts w:ascii="Calibri" w:hAnsi="Calibri"/>
                <w:b/>
                <w:color w:val="D98A0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20242B"/>
                <w:sz w:val="21"/>
              </w:rPr>
              <w:t>One person speaks for the whole team.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 xml:space="preserve"> The others merely click slides or read aloud what is already on screen.</w:t>
            </w:r>
          </w:p>
          <w:p>
            <w:pPr>
              <w:spacing w:after="60" w:line="269" w:lineRule="auto"/>
              <w:ind w:left="340" w:hanging="198"/>
            </w:pPr>
            <w:r>
              <w:rPr>
                <w:rFonts w:ascii="Calibri" w:hAnsi="Calibri"/>
                <w:b/>
                <w:color w:val="D98A0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20242B"/>
                <w:sz w:val="21"/>
              </w:rPr>
              <w:t>Recounting company history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 xml:space="preserve"> instead of analysing the mechanism and reaching a decision.</w:t>
            </w:r>
          </w:p>
          <w:p>
            <w:pPr>
              <w:spacing w:after="60" w:line="269" w:lineRule="auto"/>
              <w:ind w:left="340" w:hanging="198"/>
            </w:pPr>
            <w:r>
              <w:rPr>
                <w:rFonts w:ascii="Calibri" w:hAnsi="Calibri"/>
                <w:b/>
                <w:color w:val="D98A00"/>
                <w:sz w:val="21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20242B"/>
                <w:sz w:val="21"/>
              </w:rPr>
              <w:t>No numbers at all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 xml:space="preserve"> — or numbers that nobody can trace to a source.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3</w:t>
      </w:r>
      <w:r>
        <w:rPr>
          <w:rFonts w:ascii="Cambria" w:hAnsi="Cambria"/>
          <w:b/>
          <w:color w:val="16224A"/>
          <w:sz w:val="30"/>
        </w:rPr>
        <w:t xml:space="preserve">  Role allocation for teams of 4, 5 and 6</w:t>
      </w:r>
    </w:p>
    <w:p>
      <w:pPr>
        <w:spacing w:before="0" w:after="120" w:line="274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A team of six takes all six roles. Smaller teams merge roles as shown below, keeping the order of reasoning intact — </w:t>
      </w:r>
      <w:r>
        <w:rPr>
          <w:rFonts w:ascii="Calibri" w:hAnsi="Calibri"/>
          <w:b/>
          <w:i w:val="0"/>
          <w:color w:val="1A1A1A"/>
          <w:sz w:val="22"/>
        </w:rPr>
        <w:t>roles R3 and R4 may never be dropped</w:t>
      </w:r>
      <w:r>
        <w:rPr>
          <w:rFonts w:ascii="Calibri" w:hAnsi="Calibri"/>
          <w:b w:val="0"/>
          <w:i w:val="0"/>
          <w:color w:val="1A1A1A"/>
          <w:sz w:val="22"/>
        </w:rPr>
        <w:t>, because they are the two that measure analytical and critical capability.</w:t>
      </w:r>
    </w:p>
    <w:p>
      <w:pPr>
        <w:spacing w:before="0" w:after="40" w:line="274" w:lineRule="auto"/>
      </w:pPr>
      <w:r>
        <w:rPr>
          <w:rFonts w:ascii="Calibri" w:hAnsi="Calibri"/>
          <w:b/>
          <w:i/>
          <w:color w:val="5A6472"/>
          <w:sz w:val="19"/>
        </w:rPr>
        <w:t>Table 3. Role merging by team size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Team of 6</w:t>
            </w:r>
          </w:p>
        </w:tc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Team of 5</w:t>
            </w:r>
          </w:p>
        </w:tc>
        <w:tc>
          <w:tcPr>
            <w:tcW w:type="dxa" w:w="2353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Team of 4</w:t>
            </w:r>
          </w:p>
        </w:tc>
      </w:tr>
      <w:tr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R1 — Context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1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1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1 (also R5)</w:t>
            </w:r>
          </w:p>
        </w:tc>
      </w:tr>
      <w:tr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R2 — Model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2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2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2</w:t>
            </w:r>
          </w:p>
        </w:tc>
      </w:tr>
      <w:tr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R3 — Data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3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3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3</w:t>
            </w:r>
          </w:p>
        </w:tc>
      </w:tr>
      <w:tr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R4 — Critique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4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4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4 (also R6)</w:t>
            </w:r>
          </w:p>
        </w:tc>
      </w:tr>
      <w:tr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R5 — Transfer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5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1 also</w:t>
            </w:r>
          </w:p>
        </w:tc>
        <w:tc>
          <w:tcPr>
            <w:tcW w:type="dxa" w:w="2353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1 also</w:t>
            </w:r>
          </w:p>
        </w:tc>
      </w:tr>
      <w:tr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R6 — Decision &amp; moderation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6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5</w:t>
            </w:r>
          </w:p>
        </w:tc>
        <w:tc>
          <w:tcPr>
            <w:tcW w:type="dxa" w:w="2353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Member 4 also</w:t>
            </w:r>
          </w:p>
        </w:tc>
      </w:tr>
    </w:tbl>
    <w:p>
      <w:pPr>
        <w:spacing w:before="40" w:after="120" w:line="274" w:lineRule="auto"/>
      </w:pPr>
      <w:r>
        <w:rPr>
          <w:rFonts w:ascii="Calibri" w:hAnsi="Calibri"/>
          <w:b w:val="0"/>
          <w:i/>
          <w:color w:val="5A6472"/>
          <w:sz w:val="18"/>
        </w:rPr>
        <w:t>Teams must submit the completed allocation sheet with names before the session. The instructor will direct questions to the member who owns that part.</w:t>
      </w: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4</w:t>
      </w:r>
      <w:r>
        <w:rPr>
          <w:rFonts w:ascii="Cambria" w:hAnsi="Cambria"/>
          <w:b/>
          <w:color w:val="16224A"/>
          <w:sz w:val="30"/>
        </w:rPr>
        <w:t xml:space="preserve">  Suggested slide skeleton</w:t>
      </w:r>
    </w:p>
    <w:p>
      <w:pPr>
        <w:spacing w:before="0" w:after="40" w:line="274" w:lineRule="auto"/>
      </w:pPr>
      <w:r>
        <w:rPr>
          <w:rFonts w:ascii="Calibri" w:hAnsi="Calibri"/>
          <w:b/>
          <w:i/>
          <w:color w:val="5A6472"/>
          <w:sz w:val="19"/>
        </w:rPr>
        <w:t>Table 4. A 16-slide skeleton mapped to the six roles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Slide</w:t>
            </w:r>
          </w:p>
        </w:tc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Cover: case name, team name, members and their roles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—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2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The central problem of the case (a single question)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R1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3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Company and market context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R1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4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Why this case belongs to the chapter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R1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5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Business model: create – deliver – capture value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R2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6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The core operating mechanism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R2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7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Sources of competitive advantage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R2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8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Key indicators and their interpretation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R3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9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One calculation presented step by step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R3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10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 xml:space="preserve">What the numbers do </w:t>
            </w:r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not</w:t>
            </w:r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 xml:space="preserve"> say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R3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11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Risks and downsides of the model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R4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12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The assumption most likely to be wrong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R4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13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Conditions for transfer to Vietnam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R5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14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What applies and what does not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R5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15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Three lessons drawn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R6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16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The team's management decision + an open question for the class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R6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5</w:t>
      </w:r>
      <w:r>
        <w:rPr>
          <w:rFonts w:ascii="Cambria" w:hAnsi="Cambria"/>
          <w:b/>
          <w:color w:val="16224A"/>
          <w:sz w:val="30"/>
        </w:rPr>
        <w:t xml:space="preserve">  The question-and-answer session</w:t>
      </w:r>
    </w:p>
    <w:p>
      <w:pPr>
        <w:spacing w:after="60" w:line="269" w:lineRule="auto"/>
        <w:ind w:left="425" w:hanging="425"/>
      </w:pPr>
      <w:r>
        <w:rPr>
          <w:rFonts w:ascii="Calibri" w:hAnsi="Calibri"/>
          <w:b/>
          <w:color w:val="1F4E79"/>
          <w:sz w:val="22"/>
        </w:rPr>
        <w:t xml:space="preserve">1.  </w:t>
      </w:r>
      <w:r>
        <w:rPr>
          <w:rFonts w:ascii="Calibri" w:hAnsi="Calibri"/>
          <w:b w:val="0"/>
          <w:i w:val="0"/>
          <w:color w:val="1A1A1A"/>
          <w:sz w:val="22"/>
        </w:rPr>
        <w:t xml:space="preserve">The instructor questions the </w:t>
      </w:r>
      <w:r>
        <w:rPr>
          <w:rFonts w:ascii="Calibri" w:hAnsi="Calibri"/>
          <w:b/>
          <w:i w:val="0"/>
          <w:color w:val="1A1A1A"/>
          <w:sz w:val="22"/>
        </w:rPr>
        <w:t>named member</w:t>
      </w:r>
      <w:r>
        <w:rPr>
          <w:rFonts w:ascii="Calibri" w:hAnsi="Calibri"/>
          <w:b w:val="0"/>
          <w:i w:val="0"/>
          <w:color w:val="1A1A1A"/>
          <w:sz w:val="22"/>
        </w:rPr>
        <w:t xml:space="preserve"> who owns the relevant part; no one may answer on their behalf.</w:t>
      </w:r>
    </w:p>
    <w:p>
      <w:pPr>
        <w:spacing w:after="60" w:line="269" w:lineRule="auto"/>
        <w:ind w:left="425" w:hanging="425"/>
      </w:pPr>
      <w:r>
        <w:rPr>
          <w:rFonts w:ascii="Calibri" w:hAnsi="Calibri"/>
          <w:b/>
          <w:color w:val="1F4E79"/>
          <w:sz w:val="22"/>
        </w:rPr>
        <w:t xml:space="preserve">2.  </w:t>
      </w:r>
      <w:r>
        <w:rPr>
          <w:rFonts w:ascii="Calibri" w:hAnsi="Calibri"/>
          <w:b w:val="0"/>
          <w:i w:val="0"/>
          <w:color w:val="1A1A1A"/>
          <w:sz w:val="22"/>
        </w:rPr>
        <w:t xml:space="preserve">The team presenting </w:t>
      </w:r>
      <w:r>
        <w:rPr>
          <w:rFonts w:ascii="Calibri" w:hAnsi="Calibri"/>
          <w:b/>
          <w:i w:val="0"/>
          <w:color w:val="1A1A1A"/>
          <w:sz w:val="22"/>
        </w:rPr>
        <w:t>Case 2</w:t>
      </w:r>
      <w:r>
        <w:rPr>
          <w:rFonts w:ascii="Calibri" w:hAnsi="Calibri"/>
          <w:b w:val="0"/>
          <w:i w:val="0"/>
          <w:color w:val="1A1A1A"/>
          <w:sz w:val="22"/>
        </w:rPr>
        <w:t xml:space="preserve"> in a session must raise at least </w:t>
      </w:r>
      <w:r>
        <w:rPr>
          <w:rFonts w:ascii="Calibri" w:hAnsi="Calibri"/>
          <w:b/>
          <w:i w:val="0"/>
          <w:color w:val="1A1A1A"/>
          <w:sz w:val="22"/>
        </w:rPr>
        <w:t>one point of challenge</w:t>
      </w:r>
      <w:r>
        <w:rPr>
          <w:rFonts w:ascii="Calibri" w:hAnsi="Calibri"/>
          <w:b w:val="0"/>
          <w:i w:val="0"/>
          <w:color w:val="1A1A1A"/>
          <w:sz w:val="22"/>
        </w:rPr>
        <w:t xml:space="preserve"> against the conclusions of the Case 1 team.</w:t>
      </w:r>
    </w:p>
    <w:p>
      <w:pPr>
        <w:spacing w:after="60" w:line="269" w:lineRule="auto"/>
        <w:ind w:left="425" w:hanging="425"/>
      </w:pPr>
      <w:r>
        <w:rPr>
          <w:rFonts w:ascii="Calibri" w:hAnsi="Calibri"/>
          <w:b/>
          <w:color w:val="1F4E79"/>
          <w:sz w:val="22"/>
        </w:rPr>
        <w:t xml:space="preserve">3.  </w:t>
      </w:r>
      <w:r>
        <w:rPr>
          <w:rFonts w:ascii="Calibri" w:hAnsi="Calibri"/>
          <w:b w:val="0"/>
          <w:i w:val="0"/>
          <w:color w:val="1A1A1A"/>
          <w:sz w:val="22"/>
        </w:rPr>
        <w:t xml:space="preserve">The class asks a minimum of </w:t>
      </w:r>
      <w:r>
        <w:rPr>
          <w:rFonts w:ascii="Calibri" w:hAnsi="Calibri"/>
          <w:b/>
          <w:i w:val="0"/>
          <w:color w:val="1A1A1A"/>
          <w:sz w:val="22"/>
        </w:rPr>
        <w:t>two questions</w:t>
      </w:r>
      <w:r>
        <w:rPr>
          <w:rFonts w:ascii="Calibri" w:hAnsi="Calibri"/>
          <w:b w:val="0"/>
          <w:i w:val="0"/>
          <w:color w:val="1A1A1A"/>
          <w:sz w:val="22"/>
        </w:rPr>
        <w:t>; the presenting team may put one question back to the class.</w:t>
      </w:r>
    </w:p>
    <w:p>
      <w:pPr>
        <w:spacing w:after="60" w:line="269" w:lineRule="auto"/>
        <w:ind w:left="425" w:hanging="425"/>
      </w:pPr>
      <w:r>
        <w:rPr>
          <w:rFonts w:ascii="Calibri" w:hAnsi="Calibri"/>
          <w:b/>
          <w:color w:val="1F4E79"/>
          <w:sz w:val="22"/>
        </w:rPr>
        <w:t xml:space="preserve">4.  </w:t>
      </w:r>
      <w:r>
        <w:rPr>
          <w:rFonts w:ascii="Calibri" w:hAnsi="Calibri"/>
          <w:b w:val="0"/>
          <w:i w:val="0"/>
          <w:color w:val="1A1A1A"/>
          <w:sz w:val="22"/>
        </w:rPr>
        <w:t xml:space="preserve">A good answer has a structure: </w:t>
      </w:r>
      <w:r>
        <w:rPr>
          <w:rFonts w:ascii="Calibri" w:hAnsi="Calibri"/>
          <w:b w:val="0"/>
          <w:i/>
          <w:color w:val="1A1A1A"/>
          <w:sz w:val="22"/>
        </w:rPr>
        <w:t>claim → evidence → limits of that evidence</w:t>
      </w:r>
      <w:r>
        <w:rPr>
          <w:rFonts w:ascii="Calibri" w:hAnsi="Calibri"/>
          <w:b w:val="0"/>
          <w:i w:val="0"/>
          <w:color w:val="1A1A1A"/>
          <w:sz w:val="22"/>
        </w:rPr>
        <w:t>.</w:t>
      </w:r>
    </w:p>
    <w:p>
      <w:pPr>
        <w:spacing w:after="60" w:line="269" w:lineRule="auto"/>
        <w:ind w:left="425" w:hanging="425"/>
      </w:pPr>
      <w:r>
        <w:rPr>
          <w:rFonts w:ascii="Calibri" w:hAnsi="Calibri"/>
          <w:b/>
          <w:color w:val="1F4E79"/>
          <w:sz w:val="22"/>
        </w:rPr>
        <w:t xml:space="preserve">5.  </w:t>
      </w:r>
      <w:r>
        <w:rPr>
          <w:rFonts w:ascii="Calibri" w:hAnsi="Calibri"/>
          <w:b w:val="0"/>
          <w:i w:val="0"/>
          <w:color w:val="1A1A1A"/>
          <w:sz w:val="22"/>
        </w:rPr>
        <w:t>Answers of the form “in my opinion” without data or reasoning are not accepted.</w:t>
      </w:r>
    </w:p>
    <w:p>
      <w:pPr>
        <w:spacing w:after="40"/>
      </w:pP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6</w:t>
      </w:r>
      <w:r>
        <w:rPr>
          <w:rFonts w:ascii="Cambria" w:hAnsi="Cambria"/>
          <w:b/>
          <w:color w:val="16224A"/>
          <w:sz w:val="30"/>
        </w:rPr>
        <w:t xml:space="preserve">  Marking rubric</w:t>
      </w:r>
    </w:p>
    <w:p>
      <w:pPr>
        <w:spacing w:before="0" w:after="40" w:line="274" w:lineRule="auto"/>
      </w:pPr>
      <w:r>
        <w:rPr>
          <w:rFonts w:ascii="Calibri" w:hAnsi="Calibri"/>
          <w:b/>
          <w:i/>
          <w:color w:val="5A6472"/>
          <w:sz w:val="19"/>
        </w:rPr>
        <w:t>Table 5. 100-point rubric for the case presentation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is assessed</w:t>
            </w:r>
          </w:p>
        </w:tc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Points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Understanding the case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Accurate grasp of context, model and figures; no factual errors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20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Quality of analysis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Explains the mechanism rather than stopping at description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25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Evidence and figures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Shows a calculation, cites sources, states the limits of the data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15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Critique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Identifies risks, faulty assumptions and failure conditions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15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Transfer and decision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Sound transfer to the Vietnamese context; a reasoned decision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15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Delivery and coordination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All members present; smooth role handover; on time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10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TOTAL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100</w:t>
            </w:r>
          </w:p>
        </w:tc>
      </w:tr>
    </w:tbl>
    <w:p>
      <w:pPr>
        <w:spacing w:after="40"/>
      </w:pPr>
    </w:p>
    <w:p>
      <w:pPr>
        <w:spacing w:before="0" w:after="120" w:line="274" w:lineRule="auto"/>
      </w:pPr>
      <w:r>
        <w:rPr>
          <w:rFonts w:ascii="Calibri" w:hAnsi="Calibri"/>
          <w:b/>
          <w:i w:val="0"/>
          <w:color w:val="1A1A1A"/>
          <w:sz w:val="22"/>
        </w:rPr>
        <w:t>Total: 100 points.</w:t>
      </w:r>
      <w:r>
        <w:rPr>
          <w:rFonts w:ascii="Calibri" w:hAnsi="Calibri"/>
          <w:b w:val="0"/>
          <w:i w:val="0"/>
          <w:color w:val="1A1A1A"/>
          <w:sz w:val="22"/>
        </w:rPr>
        <w:t xml:space="preserve"> Each student's final mark = </w:t>
      </w:r>
      <w:r>
        <w:rPr>
          <w:rFonts w:ascii="Calibri" w:hAnsi="Calibri"/>
          <w:b/>
          <w:i w:val="0"/>
          <w:color w:val="1A1A1A"/>
          <w:sz w:val="22"/>
        </w:rPr>
        <w:t>80% team mark + 20% individual mark</w:t>
      </w:r>
      <w:r>
        <w:rPr>
          <w:rFonts w:ascii="Calibri" w:hAnsi="Calibri"/>
          <w:b w:val="0"/>
          <w:i w:val="0"/>
          <w:color w:val="1A1A1A"/>
          <w:sz w:val="22"/>
        </w:rPr>
        <w:t>, where the individual mark reflects their own assigned role and the quality of their answers during the Q&amp;A.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EDF5"/>
            <w:tcBorders>
              <w:top w:val="single" w:sz="6" w:space="4" w:color="16224A"/>
              <w:bottom w:val="single" w:sz="6" w:space="4" w:color="16224A"/>
              <w:right w:val="single" w:sz="6" w:space="4" w:color="16224A"/>
              <w:left w:val="single" w:sz="30" w:space="4" w:color="16224A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color w:val="16224A"/>
                <w:sz w:val="18"/>
                <w:spacing w:val="30"/>
              </w:rPr>
              <w:t>KEY POINT</w:t>
            </w:r>
          </w:p>
          <w:p>
            <w:pPr>
              <w:spacing w:before="0" w:after="80" w:line="274" w:lineRule="auto"/>
            </w:pPr>
            <w:r>
              <w:rPr>
                <w:rFonts w:ascii="Calibri" w:hAnsi="Calibri"/>
                <w:b/>
                <w:i w:val="0"/>
                <w:color w:val="16224A"/>
                <w:sz w:val="25"/>
              </w:rPr>
              <w:t>Attainment thresholds</w:t>
            </w:r>
          </w:p>
          <w:p>
            <w:pPr>
              <w:spacing w:after="60" w:line="269" w:lineRule="auto"/>
              <w:ind w:left="340" w:hanging="198"/>
            </w:pPr>
            <w:r>
              <w:rPr>
                <w:rFonts w:ascii="Calibri" w:hAnsi="Calibri"/>
                <w:b/>
                <w:color w:val="D98A00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 xml:space="preserve">A student who </w:t>
            </w:r>
            <w:r>
              <w:rPr>
                <w:rFonts w:ascii="Calibri" w:hAnsi="Calibri"/>
                <w:b/>
                <w:i w:val="0"/>
                <w:color w:val="20242B"/>
                <w:sz w:val="21"/>
              </w:rPr>
              <w:t>does not present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 xml:space="preserve">, or </w:t>
            </w:r>
            <w:r>
              <w:rPr>
                <w:rFonts w:ascii="Calibri" w:hAnsi="Calibri"/>
                <w:b/>
                <w:i w:val="0"/>
                <w:color w:val="20242B"/>
                <w:sz w:val="21"/>
              </w:rPr>
              <w:t>cannot answer a question belonging to their own role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>, forfeits the entire 20% individual mark.</w:t>
            </w:r>
          </w:p>
          <w:p>
            <w:pPr>
              <w:spacing w:after="60" w:line="269" w:lineRule="auto"/>
              <w:ind w:left="340" w:hanging="198"/>
            </w:pPr>
            <w:r>
              <w:rPr>
                <w:rFonts w:ascii="Calibri" w:hAnsi="Calibri"/>
                <w:b/>
                <w:color w:val="D98A00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>Teams submitting slides later than 24 hours before the session lose 10 points out of 100.</w:t>
            </w:r>
          </w:p>
          <w:p>
            <w:pPr>
              <w:spacing w:after="60" w:line="269" w:lineRule="auto"/>
              <w:ind w:left="340" w:hanging="198"/>
            </w:pPr>
            <w:r>
              <w:rPr>
                <w:rFonts w:ascii="Calibri" w:hAnsi="Calibri"/>
                <w:b/>
                <w:color w:val="D98A00"/>
                <w:sz w:val="21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0242B"/>
                <w:sz w:val="21"/>
              </w:rPr>
              <w:t>Presentations running beyond 22 minutes are stopped; content not delivered in time earns no marks.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4" w:space="4" w:color="D6DEEA"/>
        </w:pBdr>
      </w:pPr>
      <w:r>
        <w:rPr>
          <w:rFonts w:ascii="Cambria" w:hAnsi="Cambria"/>
          <w:b/>
          <w:color w:val="D98A00"/>
          <w:sz w:val="30"/>
        </w:rPr>
        <w:t>7</w:t>
      </w:r>
      <w:r>
        <w:rPr>
          <w:rFonts w:ascii="Cambria" w:hAnsi="Cambria"/>
          <w:b/>
          <w:color w:val="16224A"/>
          <w:sz w:val="30"/>
        </w:rPr>
        <w:t xml:space="preserve">  Submission checklist</w:t>
      </w:r>
    </w:p>
    <w:p>
      <w:pPr>
        <w:spacing w:before="0" w:after="40" w:line="274" w:lineRule="auto"/>
      </w:pPr>
      <w:r>
        <w:rPr>
          <w:rFonts w:ascii="Calibri" w:hAnsi="Calibri"/>
          <w:b/>
          <w:i/>
          <w:color w:val="5A6472"/>
          <w:sz w:val="19"/>
        </w:rPr>
        <w:t>Table 6. What each team must submit</w:t>
      </w: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137"/>
            <w:shd w:val="clear" w:color="auto" w:fill="16224A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Deadline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Presentation slides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PDF + source file (PPTX / Google Slides)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24 hours before the session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Completed role allocation sheet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PDF or photograph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24 hours before the session</w:t>
            </w:r>
          </w:p>
        </w:tc>
      </w:tr>
      <w:tr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Reference list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On the final slide</w:t>
            </w:r>
          </w:p>
        </w:tc>
        <w:tc>
          <w:tcPr>
            <w:tcW w:type="dxa" w:w="3137"/>
            <w:shd w:val="clear" w:color="auto" w:fill="FFFFFF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With the slides</w:t>
            </w:r>
          </w:p>
        </w:tc>
      </w:tr>
      <w:tr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i w:val="0"/>
                <w:color w:val="20242B"/>
                <w:sz w:val="19"/>
              </w:rPr>
              <w:t>AI usage disclosure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Course template</w:t>
            </w:r>
          </w:p>
        </w:tc>
        <w:tc>
          <w:tcPr>
            <w:tcW w:type="dxa" w:w="3137"/>
            <w:shd w:val="clear" w:color="auto" w:fill="F4F7FB"/>
            <w:tcMar>
              <w:top w:w="50" w:type="dxa"/>
              <w:bottom w:w="50" w:type="dxa"/>
              <w:start w:w="110" w:type="dxa"/>
              <w:end w:w="110" w:type="dxa"/>
            </w:tcMar>
            <w:tcBorders>
              <w:top w:val="single" w:sz="2" w:space="4" w:color="D6DEEA"/>
              <w:bottom w:val="single" w:sz="2" w:space="4" w:color="D6DEEA"/>
              <w:left w:val="single" w:sz="2" w:space="4" w:color="D6DEEA"/>
              <w:right w:val="single" w:sz="2" w:space="4" w:color="D6DEEA"/>
            </w:tcBorders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20242B"/>
                <w:sz w:val="19"/>
              </w:rPr>
              <w:t>With the slides</w:t>
            </w:r>
          </w:p>
        </w:tc>
      </w:tr>
    </w:tbl>
    <w:p>
      <w:pPr>
        <w:spacing w:after="40"/>
      </w:pPr>
    </w:p>
    <w:tbl>
      <w:tblPr>
        <w:tblW w:type="dxa" w:w="930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6224A"/>
            <w:tcBorders>
              <w:top w:val="single" w:sz="18" w:space="4" w:color="D98A00"/>
              <w:bottom w:val="single" w:sz="18" w:space="4" w:color="D98A00"/>
              <w:right w:val="single" w:sz="6" w:space="4" w:color="D98A00"/>
              <w:left w:val="single" w:sz="6" w:space="4" w:color="D98A00"/>
            </w:tcBorders>
            <w:tcMar>
              <w:top w:w="80" w:type="dxa"/>
              <w:bottom w:w="80" w:type="dxa"/>
              <w:start w:w="140" w:type="dxa"/>
              <w:end w:w="140" w:type="dxa"/>
            </w:tcMar>
            <w:tcMar>
              <w:top w:w="190" w:type="dxa"/>
              <w:bottom w:w="190" w:type="dxa"/>
              <w:start w:w="260" w:type="dxa"/>
              <w:end w:w="260" w:type="dxa"/>
            </w:tcMar>
          </w:tcPr>
          <w:p>
            <w:pPr>
              <w:spacing w:after="160"/>
              <w:jc w:val="center"/>
            </w:pPr>
            <w:r/>
            <w:r>
              <w:rPr>
                <w:rFonts w:ascii="Calibri" w:hAnsi="Calibri"/>
                <w:b/>
                <w:color w:val="D98A00"/>
                <w:sz w:val="17"/>
                <w:spacing w:val="40"/>
              </w:rPr>
              <w:t>A FINAL NOTE</w:t>
            </w:r>
          </w:p>
          <w:p>
            <w:pPr>
              <w:spacing w:after="0" w:line="300" w:lineRule="auto"/>
              <w:jc w:val="center"/>
            </w:pPr>
            <w:r>
              <w:rPr>
                <w:rFonts w:ascii="Cambria" w:hAnsi="Cambria"/>
                <w:b/>
                <w:i/>
                <w:color w:val="FFFFFF"/>
                <w:sz w:val="30"/>
              </w:rPr>
              <w:t>The presentation is not there to prove that the team has read the whole case. It is there to prove that the team understands the case deeply enough to make a decision and defend it under hard questioning.</w:t>
            </w:r>
          </w:p>
          <w:p>
            <w:pPr>
              <w:spacing w:before="160" w:after="0"/>
              <w:jc w:val="center"/>
            </w:pPr>
            <w:r>
              <w:rPr>
                <w:rFonts w:ascii="Calibri" w:hAnsi="Calibri"/>
                <w:b w:val="0"/>
                <w:i/>
                <w:color w:val="C7D3EA"/>
                <w:sz w:val="21"/>
              </w:rPr>
              <w:t>Which is precisely what an employer will test in your first job interview.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472"/>
        <w:sz w:val="16"/>
      </w:rPr>
    </w:r>
    <w:r>
      <w:rPr>
        <w:rFonts w:ascii="Calibri" w:hAnsi="Calibri"/>
        <w:color w:val="5A6472"/>
        <w:sz w:val="16"/>
      </w:rPr>
      <w:t xml:space="preserve">E-COMMERCE 2026 TEXTBOOK · SBI PROGRAMME     |     </w:t>
    </w:r>
    <w:r>
      <w:rPr>
        <w:rFonts w:ascii="Calibri" w:hAnsi="Calibri"/>
        <w:color w:val="5A6472"/>
        <w:sz w:val="16"/>
      </w:rPr>
      <w:fldSimple w:instr=" PAGE ">
        <w:t>1</w:t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3" w:space="4" w:color="D6DEEA"/>
      </w:pBdr>
    </w:pPr>
    <w:r/>
    <w:r>
      <w:rPr>
        <w:rFonts w:ascii="Calibri" w:hAnsi="Calibri"/>
        <w:color w:val="5A6472"/>
        <w:sz w:val="16"/>
      </w:rPr>
      <w:t>Case Study Presentation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