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 w:line="274" w:lineRule="auto"/>
      </w:pPr>
      <w:r>
        <w:rPr>
          <w:rFonts w:ascii="Calibri" w:hAnsi="Calibri"/>
          <w:b/>
          <w:i w:val="0"/>
          <w:color w:val="5A6472"/>
          <w:sz w:val="22"/>
        </w:rPr>
        <w:t>E-COMMERCE 2026 TEXTBOOK · SBI PROGRAMME</w:t>
      </w:r>
    </w:p>
    <w:p>
      <w:pPr>
        <w:spacing w:before="40" w:after="120"/>
        <w:pBdr>
          <w:bottom w:val="single" w:sz="12" w:space="4" w:color="16224A"/>
        </w:pBdr>
      </w:pPr>
    </w:p>
    <w:p>
      <w:pPr>
        <w:spacing w:before="120" w:after="120"/>
      </w:pPr>
      <w:r>
        <w:rPr>
          <w:rFonts w:ascii="Cambria" w:hAnsi="Cambria"/>
          <w:b/>
          <w:color w:val="16224A"/>
          <w:sz w:val="52"/>
        </w:rPr>
        <w:t>AMAZON</w:t>
      </w:r>
    </w:p>
    <w:p>
      <w:pPr>
        <w:spacing w:before="0" w:after="280" w:line="274" w:lineRule="auto"/>
      </w:pPr>
      <w:r>
        <w:rPr>
          <w:rFonts w:ascii="Calibri" w:hAnsi="Calibri"/>
          <w:b w:val="0"/>
          <w:i/>
          <w:color w:val="1F4E79"/>
          <w:sz w:val="27"/>
        </w:rPr>
        <w:t>The digital-native firm that stopped selling things and started renting out the ability to sell them</w:t>
      </w:r>
    </w:p>
    <w:tbl>
      <w:tblPr>
        <w:tblW w:type="dxa" w:w="9300"/>
        <w:jc w:val="center"/>
        <w:tblLayout w:type="fixed"/>
        <w:tblLook w:firstColumn="1" w:firstRow="1" w:lastColumn="0" w:lastRow="0" w:noHBand="0" w:noVBand="1" w:val="04A0"/>
      </w:tblPr>
      <w:tblGrid>
        <w:gridCol w:w="9412"/>
      </w:tblGrid>
      <w:tr>
        <w:tc>
          <w:tcPr>
            <w:tcW w:type="dxa" w:w="9412"/>
            <w:shd w:val="clear" w:color="auto" w:fill="F4F7FB"/>
            <w:tcBorders>
              <w:top w:val="single" w:sz="6" w:space="4" w:color="1F4E79"/>
              <w:bottom w:val="single" w:sz="6" w:space="4" w:color="1F4E79"/>
              <w:right w:val="single" w:sz="6" w:space="4" w:color="1F4E79"/>
              <w:left w:val="single" w:sz="6" w:space="4" w:color="1F4E79"/>
            </w:tcBorders>
            <w:tcMar>
              <w:top w:w="80" w:type="dxa"/>
              <w:bottom w:w="80" w:type="dxa"/>
              <w:start w:w="140" w:type="dxa"/>
              <w:end w:w="140" w:type="dxa"/>
            </w:tcMar>
          </w:tcPr>
          <w:p>
            <w:pPr>
              <w:spacing w:after="40"/>
            </w:pPr>
            <w:r/>
            <w:r>
              <w:rPr>
                <w:rFonts w:ascii="Calibri" w:hAnsi="Calibri"/>
                <w:b/>
                <w:color w:val="1F4E79"/>
                <w:sz w:val="18"/>
              </w:rPr>
              <w:t xml:space="preserve">LEARNING OUTCOME FOCUS (CLO)   </w:t>
            </w:r>
            <w:r>
              <w:rPr>
                <w:rFonts w:ascii="Calibri" w:hAnsi="Calibri"/>
                <w:b/>
                <w:color w:val="16224A"/>
                <w:sz w:val="21"/>
              </w:rPr>
              <w:t xml:space="preserve">   CLO1 ●●●   </w:t>
            </w:r>
            <w:r>
              <w:rPr>
                <w:rFonts w:ascii="Calibri" w:hAnsi="Calibri"/>
                <w:b/>
                <w:color w:val="16224A"/>
                <w:sz w:val="21"/>
              </w:rPr>
              <w:t xml:space="preserve">   CLO2 ○   </w:t>
            </w:r>
            <w:r>
              <w:rPr>
                <w:rFonts w:ascii="Calibri" w:hAnsi="Calibri"/>
                <w:b/>
                <w:color w:val="16224A"/>
                <w:sz w:val="21"/>
              </w:rPr>
              <w:t xml:space="preserve">   CLO4 ○   </w:t>
            </w:r>
            <w:r>
              <w:rPr>
                <w:rFonts w:ascii="Calibri" w:hAnsi="Calibri"/>
                <w:b/>
                <w:color w:val="16224A"/>
                <w:sz w:val="21"/>
              </w:rPr>
              <w:t xml:space="preserve">   CLO6 ○   </w:t>
            </w:r>
          </w:p>
        </w:tc>
      </w:tr>
    </w:tbl>
    <w:p>
      <w:pPr>
        <w:spacing w:before="160" w:after="80" w:line="274" w:lineRule="auto"/>
      </w:pPr>
      <w:r>
        <w:rPr>
          <w:rFonts w:ascii="Calibri" w:hAnsi="Calibri"/>
          <w:b w:val="0"/>
          <w:i/>
          <w:color w:val="5A6472"/>
          <w:sz w:val="21"/>
        </w:rPr>
        <w:t>Group 1 case study · Session 1 — E-commerce 2026: from online selling to Digital Commerce and AI Commerce</w:t>
      </w:r>
    </w:p>
    <w:tbl>
      <w:tblPr>
        <w:tblW w:type="dxa" w:w="9300"/>
        <w:jc w:val="center"/>
        <w:tblLayout w:type="fixed"/>
        <w:tblLook w:firstColumn="1" w:firstRow="1" w:lastColumn="0" w:lastRow="0" w:noHBand="0" w:noVBand="1" w:val="04A0"/>
      </w:tblPr>
      <w:tblGrid>
        <w:gridCol w:w="9412"/>
      </w:tblGrid>
      <w:tr>
        <w:tc>
          <w:tcPr>
            <w:tcW w:type="dxa" w:w="9412"/>
            <w:shd w:val="clear" w:color="auto" w:fill="16224A"/>
            <w:tcBorders>
              <w:top w:val="single" w:sz="6" w:space="4" w:color="16224A"/>
              <w:bottom w:val="single" w:sz="6" w:space="4" w:color="16224A"/>
              <w:right w:val="single" w:sz="6" w:space="4" w:color="16224A"/>
              <w:left w:val="single" w:sz="6" w:space="4" w:color="16224A"/>
            </w:tcBorders>
            <w:tcMar>
              <w:top w:w="80" w:type="dxa"/>
              <w:bottom w:w="80" w:type="dxa"/>
              <w:start w:w="140" w:type="dxa"/>
              <w:end w:w="140" w:type="dxa"/>
            </w:tcMar>
            <w:tcMar>
              <w:top w:w="200" w:type="dxa"/>
              <w:bottom w:w="200" w:type="dxa"/>
              <w:start w:w="260" w:type="dxa"/>
              <w:end w:w="260" w:type="dxa"/>
            </w:tcMar>
          </w:tcPr>
          <w:p>
            <w:pPr>
              <w:spacing w:after="160"/>
              <w:jc w:val="center"/>
            </w:pPr>
            <w:r/>
            <w:r>
              <w:rPr>
                <w:rFonts w:ascii="Calibri" w:hAnsi="Calibri"/>
                <w:b/>
                <w:color w:val="8FA3C8"/>
                <w:sz w:val="17"/>
                <w:spacing w:val="40"/>
              </w:rPr>
              <w:t>OPENING STORY</w:t>
            </w:r>
          </w:p>
          <w:p>
            <w:pPr>
              <w:spacing w:after="0" w:line="300" w:lineRule="auto"/>
              <w:jc w:val="center"/>
            </w:pPr>
            <w:r>
              <w:rPr>
                <w:rFonts w:ascii="Cambria" w:hAnsi="Cambria"/>
                <w:b/>
                <w:i/>
                <w:color w:val="FFD98A"/>
                <w:sz w:val="32"/>
              </w:rPr>
              <w:t xml:space="preserve">In 1994 a hedge-fund vice-president drew up a list of about twenty product categories that might plausibly be sold over the Internet, and chose books — not out of any love of books, but because there were more titles in print than any shop on earth could stock. Three decades later the company built on that decision reported net sales of USD 716.9 billion in FY2025 and operating income of USD 80.0 billion — of which </w:t>
            </w:r>
            <w:r>
              <w:rPr>
                <w:rFonts w:ascii="Cambria" w:hAnsi="Cambria"/>
                <w:b/>
                <w:i/>
                <w:color w:val="FFD98A"/>
                <w:sz w:val="32"/>
              </w:rPr>
              <w:t>57% came from renting computing capacity to other firms</w:t>
            </w:r>
            <w:r>
              <w:rPr>
                <w:rFonts w:ascii="Cambria" w:hAnsi="Cambria"/>
                <w:b/>
                <w:i/>
                <w:color w:val="FFD98A"/>
                <w:sz w:val="32"/>
              </w:rPr>
              <w:t xml:space="preserve">, not from selling anything at all. Its fastest-growing commercial business, advertising, sells not goods but </w:t>
            </w:r>
            <w:r>
              <w:rPr>
                <w:rFonts w:ascii="Cambria" w:hAnsi="Cambria"/>
                <w:b/>
                <w:i/>
                <w:color w:val="FFD98A"/>
                <w:sz w:val="32"/>
              </w:rPr>
              <w:t>position on a page</w:t>
            </w:r>
            <w:r>
              <w:rPr>
                <w:rFonts w:ascii="Cambria" w:hAnsi="Cambria"/>
                <w:b/>
                <w:i/>
                <w:color w:val="FFD98A"/>
                <w:sz w:val="32"/>
              </w:rPr>
              <w:t>: USD 68.6 billion of it in FY2025.</w:t>
            </w:r>
          </w:p>
          <w:p>
            <w:pPr>
              <w:spacing w:before="160" w:after="0"/>
              <w:jc w:val="center"/>
            </w:pPr>
            <w:r>
              <w:rPr>
                <w:rFonts w:ascii="Calibri" w:hAnsi="Calibri"/>
                <w:b w:val="0"/>
                <w:i/>
                <w:color w:val="C7D3EA"/>
                <w:sz w:val="21"/>
              </w:rPr>
              <w:t>So the useful question is not what Amazon sells. It is: which parts of the customer journey does Amazon control — and what does it charge for each of them?</w:t>
            </w:r>
          </w:p>
        </w:tc>
      </w:tr>
    </w:tbl>
    <w:p>
      <w:pPr>
        <w:spacing w:after="80"/>
      </w:pPr>
    </w:p>
    <w:tbl>
      <w:tblPr>
        <w:tblW w:type="dxa" w:w="9300"/>
        <w:jc w:val="center"/>
        <w:tblLayout w:type="fixed"/>
        <w:tblLook w:firstColumn="1" w:firstRow="1" w:lastColumn="0" w:lastRow="0" w:noHBand="0" w:noVBand="1" w:val="04A0"/>
      </w:tblPr>
      <w:tblGrid>
        <w:gridCol w:w="9412"/>
      </w:tblGrid>
      <w:tr>
        <w:tc>
          <w:tcPr>
            <w:tcW w:type="dxa" w:w="9412"/>
            <w:shd w:val="clear" w:color="auto" w:fill="E9EDF5"/>
            <w:tcBorders>
              <w:top w:val="single" w:sz="6" w:space="4" w:color="16224A"/>
              <w:bottom w:val="single" w:sz="6" w:space="4" w:color="16224A"/>
              <w:right w:val="single" w:sz="6" w:space="4" w:color="16224A"/>
              <w:left w:val="single" w:sz="30" w:space="4" w:color="16224A"/>
            </w:tcBorders>
            <w:tcMar>
              <w:top w:w="80" w:type="dxa"/>
              <w:bottom w:w="80" w:type="dxa"/>
              <w:start w:w="140" w:type="dxa"/>
              <w:end w:w="140" w:type="dxa"/>
            </w:tcMar>
          </w:tcPr>
          <w:p>
            <w:pPr>
              <w:spacing w:after="60"/>
            </w:pPr>
            <w:r/>
            <w:r>
              <w:rPr>
                <w:rFonts w:ascii="Calibri" w:hAnsi="Calibri"/>
                <w:b/>
                <w:color w:val="16224A"/>
                <w:sz w:val="18"/>
                <w:spacing w:val="30"/>
              </w:rPr>
              <w:t>KEY POINT</w:t>
            </w:r>
          </w:p>
          <w:p>
            <w:pPr>
              <w:spacing w:before="0" w:after="80" w:line="274" w:lineRule="auto"/>
            </w:pPr>
            <w:r>
              <w:rPr>
                <w:rFonts w:ascii="Calibri" w:hAnsi="Calibri"/>
                <w:b/>
                <w:i w:val="0"/>
                <w:color w:val="16224A"/>
                <w:sz w:val="25"/>
              </w:rPr>
              <w:t>Where this case sits in the course</w:t>
            </w:r>
          </w:p>
          <w:p>
            <w:pPr>
              <w:spacing w:after="60" w:line="269" w:lineRule="auto"/>
              <w:ind w:left="340" w:hanging="198"/>
            </w:pPr>
            <w:r>
              <w:rPr>
                <w:rFonts w:ascii="Calibri" w:hAnsi="Calibri"/>
                <w:b/>
                <w:color w:val="D98A00"/>
                <w:sz w:val="21"/>
              </w:rPr>
              <w:t xml:space="preserve">•  </w:t>
            </w:r>
            <w:r>
              <w:rPr>
                <w:rFonts w:ascii="Calibri" w:hAnsi="Calibri"/>
                <w:b/>
                <w:i w:val="0"/>
                <w:color w:val="20242B"/>
                <w:sz w:val="21"/>
              </w:rPr>
              <w:t>Session 1 — E-commerce 2026: from online selling to Digital Commerce and AI Commerce.</w:t>
            </w:r>
            <w:r>
              <w:rPr>
                <w:rFonts w:ascii="Calibri" w:hAnsi="Calibri"/>
                <w:b w:val="0"/>
                <w:i w:val="0"/>
                <w:color w:val="20242B"/>
                <w:sz w:val="21"/>
              </w:rPr>
              <w:t xml:space="preserve"> The paired Group 2 case is </w:t>
            </w:r>
            <w:r>
              <w:rPr>
                <w:rFonts w:ascii="Calibri" w:hAnsi="Calibri"/>
                <w:b/>
                <w:i w:val="0"/>
                <w:color w:val="20242B"/>
                <w:sz w:val="21"/>
              </w:rPr>
              <w:t>WALMART</w:t>
            </w:r>
            <w:r>
              <w:rPr>
                <w:rFonts w:ascii="Calibri" w:hAnsi="Calibri"/>
                <w:b w:val="0"/>
                <w:i w:val="0"/>
                <w:color w:val="20242B"/>
                <w:sz w:val="21"/>
              </w:rPr>
              <w:t xml:space="preserve">, a traditional retailer that digitised successfully by redefining a store estate written off as fixed-cost burden into distributed fulfilment infrastructure. Amazon is the </w:t>
            </w:r>
            <w:r>
              <w:rPr>
                <w:rFonts w:ascii="Calibri" w:hAnsi="Calibri"/>
                <w:b/>
                <w:i w:val="0"/>
                <w:color w:val="20242B"/>
                <w:sz w:val="21"/>
              </w:rPr>
              <w:t>opposite pole</w:t>
            </w:r>
            <w:r>
              <w:rPr>
                <w:rFonts w:ascii="Calibri" w:hAnsi="Calibri"/>
                <w:b w:val="0"/>
                <w:i w:val="0"/>
                <w:color w:val="20242B"/>
                <w:sz w:val="21"/>
              </w:rPr>
              <w:t xml:space="preserve">: the digital-native firm with no legacy to reprogramme, which built the missing infrastructure of its own market — trust, payment, warehousing, delivery, computing — and then </w:t>
            </w:r>
            <w:r>
              <w:rPr>
                <w:rFonts w:ascii="Calibri" w:hAnsi="Calibri"/>
                <w:b/>
                <w:i w:val="0"/>
                <w:color w:val="20242B"/>
                <w:sz w:val="21"/>
              </w:rPr>
              <w:t>turned commerce itself into infrastructure it could rent out</w:t>
            </w:r>
            <w:r>
              <w:rPr>
                <w:rFonts w:ascii="Calibri" w:hAnsi="Calibri"/>
                <w:b w:val="0"/>
                <w:i w:val="0"/>
                <w:color w:val="20242B"/>
                <w:sz w:val="21"/>
              </w:rPr>
              <w:t>. The two cases reach the same destination from opposite starting points.</w:t>
            </w:r>
          </w:p>
          <w:p>
            <w:pPr>
              <w:spacing w:after="60" w:line="269" w:lineRule="auto"/>
              <w:ind w:left="340" w:hanging="198"/>
            </w:pPr>
            <w:r>
              <w:rPr>
                <w:rFonts w:ascii="Calibri" w:hAnsi="Calibri"/>
                <w:b/>
                <w:color w:val="D98A00"/>
                <w:sz w:val="21"/>
              </w:rPr>
              <w:t xml:space="preserve">•  </w:t>
            </w:r>
            <w:r>
              <w:rPr>
                <w:rFonts w:ascii="Calibri" w:hAnsi="Calibri"/>
                <w:b/>
                <w:i w:val="0"/>
                <w:color w:val="20242B"/>
                <w:sz w:val="21"/>
              </w:rPr>
              <w:t>Related CLOs:</w:t>
            </w:r>
            <w:r>
              <w:rPr>
                <w:rFonts w:ascii="Calibri" w:hAnsi="Calibri"/>
                <w:b w:val="0"/>
                <w:i w:val="0"/>
                <w:color w:val="20242B"/>
                <w:sz w:val="21"/>
              </w:rPr>
              <w:t xml:space="preserve"> CLO1 (primary — six levels of digital maturity, cross-side network effects, take rate against all-in cost, GMV ≠ Revenue ≠ Profit); CLO2 (platform dependency from the seller's side); CLO4 (where AI enters the commerce stack, and what Agent Optimization demands); CLO6 (competition, data and labour risk in a firm that is referee and player at once).</w:t>
            </w:r>
          </w:p>
          <w:p>
            <w:pPr>
              <w:spacing w:after="60" w:line="269" w:lineRule="auto"/>
              <w:ind w:left="340" w:hanging="198"/>
            </w:pPr>
            <w:r>
              <w:rPr>
                <w:rFonts w:ascii="Calibri" w:hAnsi="Calibri"/>
                <w:b/>
                <w:color w:val="D98A00"/>
                <w:sz w:val="21"/>
              </w:rPr>
              <w:t xml:space="preserve">•  </w:t>
            </w:r>
            <w:r>
              <w:rPr>
                <w:rFonts w:ascii="Calibri" w:hAnsi="Calibri"/>
                <w:b/>
                <w:i w:val="0"/>
                <w:color w:val="20242B"/>
                <w:sz w:val="21"/>
              </w:rPr>
              <w:t>Central question:</w:t>
            </w:r>
            <w:r>
              <w:rPr>
                <w:rFonts w:ascii="Calibri" w:hAnsi="Calibri"/>
                <w:b w:val="0"/>
                <w:i w:val="0"/>
                <w:color w:val="20242B"/>
                <w:sz w:val="21"/>
              </w:rPr>
              <w:t xml:space="preserve"> Amazon began by selling books. Why is the right question not </w:t>
            </w:r>
            <w:r>
              <w:rPr>
                <w:rFonts w:ascii="Calibri" w:hAnsi="Calibri"/>
                <w:b w:val="0"/>
                <w:i/>
                <w:color w:val="20242B"/>
                <w:sz w:val="21"/>
              </w:rPr>
              <w:t>what does Amazon sell</w:t>
            </w:r>
            <w:r>
              <w:rPr>
                <w:rFonts w:ascii="Calibri" w:hAnsi="Calibri"/>
                <w:b w:val="0"/>
                <w:i w:val="0"/>
                <w:color w:val="20242B"/>
                <w:sz w:val="21"/>
              </w:rPr>
              <w:t xml:space="preserve"> but </w:t>
            </w:r>
            <w:r>
              <w:rPr>
                <w:rFonts w:ascii="Calibri" w:hAnsi="Calibri"/>
                <w:b w:val="0"/>
                <w:i/>
                <w:color w:val="20242B"/>
                <w:sz w:val="21"/>
              </w:rPr>
              <w:t>which parts of the customer journey does Amazon control</w:t>
            </w:r>
            <w:r>
              <w:rPr>
                <w:rFonts w:ascii="Calibri" w:hAnsi="Calibri"/>
                <w:b w:val="0"/>
                <w:i w:val="0"/>
                <w:color w:val="20242B"/>
                <w:sz w:val="21"/>
              </w:rPr>
              <w:t>?</w:t>
            </w:r>
          </w:p>
        </w:tc>
      </w:tr>
    </w:tbl>
    <w:p>
      <w:pPr>
        <w:spacing w:after="80"/>
      </w:pPr>
    </w:p>
    <w:p>
      <w:pPr>
        <w:spacing w:before="200" w:after="100"/>
        <w:shd w:val="clear" w:color="auto" w:fill="6D3B8E"/>
      </w:pPr>
      <w:r>
        <w:rPr>
          <w:rFonts w:ascii="Cambria" w:hAnsi="Cambria"/>
          <w:b/>
          <w:color w:val="FFFFFF"/>
          <w:sz w:val="24"/>
        </w:rPr>
        <w:t xml:space="preserve">  GROUP 1 CASE STUDY</w:t>
      </w:r>
    </w:p>
    <w:tbl>
      <w:tblPr>
        <w:tblW w:type="dxa" w:w="9300"/>
        <w:jc w:val="center"/>
        <w:tblLayout w:type="fixed"/>
        <w:tblLook w:firstColumn="1" w:firstRow="1" w:lastColumn="0" w:lastRow="0" w:noHBand="0" w:noVBand="1" w:val="04A0"/>
      </w:tblPr>
      <w:tblGrid>
        <w:gridCol w:w="9412"/>
      </w:tblGrid>
      <w:tr>
        <w:tc>
          <w:tcPr>
            <w:tcW w:type="dxa" w:w="9412"/>
            <w:shd w:val="clear" w:color="auto" w:fill="F3ECF9"/>
            <w:tcBorders>
              <w:top w:val="single" w:sz="6" w:space="4" w:color="6D3B8E"/>
              <w:bottom w:val="single" w:sz="6" w:space="4" w:color="6D3B8E"/>
              <w:right w:val="single" w:sz="6" w:space="4" w:color="6D3B8E"/>
              <w:left w:val="single" w:sz="30" w:space="4" w:color="6D3B8E"/>
            </w:tcBorders>
            <w:tcMar>
              <w:top w:w="80" w:type="dxa"/>
              <w:bottom w:w="80" w:type="dxa"/>
              <w:start w:w="140" w:type="dxa"/>
              <w:end w:w="140" w:type="dxa"/>
            </w:tcMar>
          </w:tcPr>
          <w:p>
            <w:pPr>
              <w:spacing w:after="40"/>
            </w:pPr>
            <w:r/>
            <w:r>
              <w:rPr>
                <w:rFonts w:ascii="Cambria" w:hAnsi="Cambria"/>
                <w:b/>
                <w:color w:val="16224A"/>
                <w:sz w:val="38"/>
              </w:rPr>
              <w:t>AMAZON</w:t>
            </w:r>
          </w:p>
          <w:p>
            <w:pPr>
              <w:spacing w:before="0" w:after="60" w:line="274" w:lineRule="auto"/>
            </w:pPr>
            <w:r>
              <w:rPr>
                <w:rFonts w:ascii="Calibri" w:hAnsi="Calibri"/>
                <w:b/>
                <w:i w:val="0"/>
                <w:color w:val="6D3B8E"/>
                <w:sz w:val="25"/>
              </w:rPr>
              <w:t>From an online bookstore to the infrastructure of global commerce</w:t>
            </w:r>
          </w:p>
          <w:p>
            <w:pPr>
              <w:spacing w:before="0" w:after="0" w:line="274" w:lineRule="auto"/>
            </w:pPr>
            <w:r>
              <w:rPr>
                <w:rFonts w:ascii="Calibri" w:hAnsi="Calibri"/>
                <w:b w:val="0"/>
                <w:i/>
                <w:color w:val="5A6472"/>
                <w:sz w:val="18"/>
              </w:rPr>
              <w:t>United States · Marketplace, logistics, advertising, cloud computing · 1994–2026</w:t>
            </w:r>
          </w:p>
        </w:tc>
      </w:tr>
    </w:tbl>
    <w:p>
      <w:pPr>
        <w:spacing w:after="60"/>
      </w:pPr>
    </w:p>
    <w:p>
      <w:pPr>
        <w:spacing w:before="0" w:after="120" w:line="274" w:lineRule="auto"/>
      </w:pPr>
      <w:r>
        <w:rPr>
          <w:rFonts w:ascii="Calibri" w:hAnsi="Calibri"/>
          <w:b w:val="0"/>
          <w:i w:val="0"/>
          <w:color w:val="1A1A1A"/>
          <w:sz w:val="22"/>
        </w:rPr>
        <w:t>Amazon is the most suitable case with which to open the course, because the whole journey through the six levels of digital maturity can be observed within one company: from an online store selling a single type of product, to a multi-seller marketplace, to a logistics system, to an advertising platform, and finally to a technology infrastructure provider for the rest of the digital economy.</w:t>
      </w:r>
    </w:p>
    <w:p>
      <w:pPr>
        <w:spacing w:before="0" w:after="120" w:line="274" w:lineRule="auto"/>
      </w:pPr>
      <w:r>
        <w:rPr>
          <w:rFonts w:ascii="Calibri" w:hAnsi="Calibri"/>
          <w:b w:val="0"/>
          <w:i w:val="0"/>
          <w:color w:val="1A1A1A"/>
          <w:sz w:val="22"/>
        </w:rPr>
        <w:t xml:space="preserve">What is worth learning is not the scale of its revenue but its </w:t>
      </w:r>
      <w:r>
        <w:rPr>
          <w:rFonts w:ascii="Calibri" w:hAnsi="Calibri"/>
          <w:b/>
          <w:i w:val="0"/>
          <w:color w:val="1A1A1A"/>
          <w:sz w:val="22"/>
        </w:rPr>
        <w:t>logic of expansion</w:t>
      </w:r>
      <w:r>
        <w:rPr>
          <w:rFonts w:ascii="Calibri" w:hAnsi="Calibri"/>
          <w:b w:val="0"/>
          <w:i w:val="0"/>
          <w:color w:val="1A1A1A"/>
          <w:sz w:val="22"/>
        </w:rPr>
        <w:t xml:space="preserve">: each capability was built to serve an internal need and was then opened up as a business serving outsiders. Warehousing was built because no partner could keep the delivery promise, then sold to the very sellers competing with Amazon's own goods; computing became AWS; purchase-intent data became an advertising business. It is one of the most systematic growth models in e-commerce, systematic because it began not with a market opportunity but with an internal cost. The pattern was still running in 2026, when the firm launched </w:t>
      </w:r>
      <w:r>
        <w:rPr>
          <w:rFonts w:ascii="Calibri" w:hAnsi="Calibri"/>
          <w:b/>
          <w:i w:val="0"/>
          <w:color w:val="1A1A1A"/>
          <w:sz w:val="22"/>
        </w:rPr>
        <w:t>Amazon Supply Chain Services</w:t>
      </w:r>
      <w:r>
        <w:rPr>
          <w:rFonts w:ascii="Calibri" w:hAnsi="Calibri"/>
          <w:b w:val="0"/>
          <w:i w:val="0"/>
          <w:color w:val="1A1A1A"/>
          <w:sz w:val="22"/>
        </w:rPr>
        <w:t xml:space="preserve"> — opening its own inbound, storage and delivery network to any business, with Procter &amp; Gamble, 3M, Lands' End and American Eagle Outfitters among the first customers.</w:t>
      </w:r>
    </w:p>
    <w:p>
      <w:pPr>
        <w:spacing w:before="0" w:after="120" w:line="274" w:lineRule="auto"/>
      </w:pPr>
      <w:r>
        <w:rPr>
          <w:rFonts w:ascii="Calibri" w:hAnsi="Calibri"/>
          <w:b w:val="0"/>
          <w:i w:val="0"/>
          <w:color w:val="1A1A1A"/>
          <w:sz w:val="22"/>
        </w:rPr>
        <w:t xml:space="preserve">The case must also be read against its own myth. Amazon is routinely presented as an unstoppable machine, which makes it useless as a teaching object. Section 6 therefore takes the model apart — and FY2025 supplies the sharpest evidence yet that the machine has a price: operating income rose to USD 80.0 billion, but free cash flow </w:t>
      </w:r>
      <w:r>
        <w:rPr>
          <w:rFonts w:ascii="Calibri" w:hAnsi="Calibri"/>
          <w:b/>
          <w:i w:val="0"/>
          <w:color w:val="1A1A1A"/>
          <w:sz w:val="22"/>
        </w:rPr>
        <w:t>fell to USD 11.2 billion from USD 38.2 billion</w:t>
      </w:r>
      <w:r>
        <w:rPr>
          <w:rFonts w:ascii="Calibri" w:hAnsi="Calibri"/>
          <w:b w:val="0"/>
          <w:i w:val="0"/>
          <w:color w:val="1A1A1A"/>
          <w:sz w:val="22"/>
        </w:rPr>
        <w:t>, and by mid-2026 it was an outflow. The firm is spending its profit faster than it earns it.</w:t>
      </w:r>
    </w:p>
    <w:p>
      <w:pPr>
        <w:keepNext/>
        <w:spacing w:before="180" w:after="60"/>
      </w:pPr>
      <w:r>
        <w:rPr>
          <w:rFonts w:ascii="Cambria" w:hAnsi="Cambria"/>
          <w:b/>
          <w:color w:val="6D3B8E"/>
          <w:sz w:val="25"/>
        </w:rPr>
        <w:t>1. Context and the problem: why a bookshop was the right disguise for an infrastructure company</w:t>
      </w:r>
    </w:p>
    <w:p>
      <w:pPr>
        <w:spacing w:before="0" w:after="100" w:line="274" w:lineRule="auto"/>
      </w:pPr>
      <w:r>
        <w:rPr>
          <w:rFonts w:ascii="Calibri" w:hAnsi="Calibri"/>
          <w:b w:val="0"/>
          <w:i w:val="0"/>
          <w:color w:val="1A1A1A"/>
          <w:sz w:val="22"/>
        </w:rPr>
        <w:t xml:space="preserve">Amazon began in 1994 with books — a calculated choice, not a passion. Books are standardised, need no trying on, are easy to describe, and form a vast catalogue that no physical store could hold in full. In the language of Section 9, books are a category in which </w:t>
      </w:r>
      <w:r>
        <w:rPr>
          <w:rFonts w:ascii="Calibri" w:hAnsi="Calibri"/>
          <w:b/>
          <w:i w:val="0"/>
          <w:color w:val="1A1A1A"/>
          <w:sz w:val="22"/>
        </w:rPr>
        <w:t>search cost</w:t>
      </w:r>
      <w:r>
        <w:rPr>
          <w:rFonts w:ascii="Calibri" w:hAnsi="Calibri"/>
          <w:b w:val="0"/>
          <w:i w:val="0"/>
          <w:color w:val="1A1A1A"/>
          <w:sz w:val="22"/>
        </w:rPr>
        <w:t xml:space="preserve"> is very high while </w:t>
      </w:r>
      <w:r>
        <w:rPr>
          <w:rFonts w:ascii="Calibri" w:hAnsi="Calibri"/>
          <w:b/>
          <w:i w:val="0"/>
          <w:color w:val="1A1A1A"/>
          <w:sz w:val="22"/>
        </w:rPr>
        <w:t>verification cost</w:t>
      </w:r>
      <w:r>
        <w:rPr>
          <w:rFonts w:ascii="Calibri" w:hAnsi="Calibri"/>
          <w:b w:val="0"/>
          <w:i w:val="0"/>
          <w:color w:val="1A1A1A"/>
          <w:sz w:val="22"/>
        </w:rPr>
        <w:t xml:space="preserve"> is very low — the ideal condition for an online channel to create value far beyond the traditional one, and a reusable test rather than a piece of history.</w:t>
      </w:r>
    </w:p>
    <w:p>
      <w:pPr>
        <w:spacing w:before="0" w:after="100" w:line="274" w:lineRule="auto"/>
      </w:pPr>
      <w:r>
        <w:rPr>
          <w:rFonts w:ascii="Calibri" w:hAnsi="Calibri"/>
          <w:b w:val="0"/>
          <w:i w:val="0"/>
          <w:color w:val="1A1A1A"/>
          <w:sz w:val="22"/>
        </w:rPr>
        <w:t xml:space="preserve">The harder fact about 1994 is what did </w:t>
      </w:r>
      <w:r>
        <w:rPr>
          <w:rFonts w:ascii="Calibri" w:hAnsi="Calibri"/>
          <w:b/>
          <w:i w:val="0"/>
          <w:color w:val="1A1A1A"/>
          <w:sz w:val="22"/>
        </w:rPr>
        <w:t>not</w:t>
      </w:r>
      <w:r>
        <w:rPr>
          <w:rFonts w:ascii="Calibri" w:hAnsi="Calibri"/>
          <w:b w:val="0"/>
          <w:i w:val="0"/>
          <w:color w:val="1A1A1A"/>
          <w:sz w:val="22"/>
        </w:rPr>
        <w:t xml:space="preserve"> exist. Of the six infrastructure layers in Table 1.4 — connectivity, devices, identity and trust, payment, delivery, data — only the first was supplied by others, and barely. A firm could wait for the rest or build them itself; Amazon built, and </w:t>
      </w:r>
      <w:r>
        <w:rPr>
          <w:rFonts w:ascii="Calibri" w:hAnsi="Calibri"/>
          <w:b/>
          <w:i w:val="0"/>
          <w:color w:val="1A1A1A"/>
          <w:sz w:val="22"/>
        </w:rPr>
        <w:t>every subsequent expansion follows from that choice rather than from a new strategic idea</w:t>
      </w:r>
      <w:r>
        <w:rPr>
          <w:rFonts w:ascii="Calibri" w:hAnsi="Calibri"/>
          <w:b w:val="0"/>
          <w:i w:val="0"/>
          <w:color w:val="1A1A1A"/>
          <w:sz w:val="22"/>
        </w:rPr>
        <w:t>.</w:t>
      </w:r>
    </w:p>
    <w:p>
      <w:pPr>
        <w:spacing w:before="0" w:after="100" w:line="274" w:lineRule="auto"/>
      </w:pPr>
      <w:r>
        <w:rPr>
          <w:rFonts w:ascii="Calibri" w:hAnsi="Calibri"/>
          <w:b w:val="0"/>
          <w:i w:val="0"/>
          <w:color w:val="1A1A1A"/>
          <w:sz w:val="22"/>
        </w:rPr>
        <w:t xml:space="preserve">The first structural turning point was opening the platform to third-party sellers (zShops 1999, Marketplace 2000). The decision was contentious internally, because it placed competitors on the same product page as the company's own goods. But it activated the cross-side network effect of Section 10 — more sellers → more choice and better prices → more buyers → greater attraction for sellers — and let the catalogue grow </w:t>
      </w:r>
      <w:r>
        <w:rPr>
          <w:rFonts w:ascii="Calibri" w:hAnsi="Calibri"/>
          <w:b/>
          <w:i w:val="0"/>
          <w:color w:val="1A1A1A"/>
          <w:sz w:val="22"/>
        </w:rPr>
        <w:t>without consuming inventory capital</w:t>
      </w:r>
      <w:r>
        <w:rPr>
          <w:rFonts w:ascii="Calibri" w:hAnsi="Calibri"/>
          <w:b w:val="0"/>
          <w:i w:val="0"/>
          <w:color w:val="1A1A1A"/>
          <w:sz w:val="22"/>
        </w:rPr>
        <w:t xml:space="preserve">, moving long-tail stock risk onto those best placed to judge it. A quarter of a century later the decision is visible in one disclosed metric: </w:t>
      </w:r>
      <w:r>
        <w:rPr>
          <w:rFonts w:ascii="Calibri" w:hAnsi="Calibri"/>
          <w:b/>
          <w:i w:val="0"/>
          <w:color w:val="1A1A1A"/>
          <w:sz w:val="22"/>
        </w:rPr>
        <w:t>third-party sellers accounted for 61% of paid units sold in Q4 2025</w:t>
      </w:r>
      <w:r>
        <w:rPr>
          <w:rFonts w:ascii="Calibri" w:hAnsi="Calibri"/>
          <w:b w:val="0"/>
          <w:i w:val="0"/>
          <w:color w:val="1A1A1A"/>
          <w:sz w:val="22"/>
        </w:rPr>
        <w:t>, a share that has sat between 60% and 62% every quarter since.</w:t>
      </w:r>
    </w:p>
    <w:p>
      <w:pPr>
        <w:spacing w:before="0" w:after="100" w:line="274" w:lineRule="auto"/>
      </w:pPr>
      <w:r>
        <w:rPr>
          <w:rFonts w:ascii="Calibri" w:hAnsi="Calibri"/>
          <w:b w:val="0"/>
          <w:i w:val="0"/>
          <w:color w:val="1A1A1A"/>
          <w:sz w:val="22"/>
        </w:rPr>
        <w:t xml:space="preserve">The second turning point was building its own warehouse and delivery network — capital-heavy, spread over years, criticised by markets. It produced what competitors find hardest to copy: </w:t>
      </w:r>
      <w:r>
        <w:rPr>
          <w:rFonts w:ascii="Calibri" w:hAnsi="Calibri"/>
          <w:b/>
          <w:i w:val="0"/>
          <w:color w:val="1A1A1A"/>
          <w:sz w:val="22"/>
        </w:rPr>
        <w:t>control of the delivery promise</w:t>
      </w:r>
      <w:r>
        <w:rPr>
          <w:rFonts w:ascii="Calibri" w:hAnsi="Calibri"/>
          <w:b w:val="0"/>
          <w:i w:val="0"/>
          <w:color w:val="1A1A1A"/>
          <w:sz w:val="22"/>
        </w:rPr>
        <w:t>. A firm depending on third-party carriers cannot promise a delivery date, only forecast one. Once strong enough, the capability was opened as a fulfillment service — Fulfillment by Amazon, from 2006 — to the very sellers on the platform.</w:t>
      </w:r>
    </w:p>
    <w:p>
      <w:pPr>
        <w:spacing w:before="80" w:after="100"/>
        <w:jc w:val="center"/>
        <w:shd w:val="clear" w:color="auto" w:fill="F4F7FB"/>
      </w:pPr>
      <w:r>
        <w:rPr>
          <w:rFonts w:ascii="Calibri" w:hAnsi="Calibri"/>
          <w:b/>
          <w:i w:val="0"/>
          <w:color w:val="16224A"/>
          <w:sz w:val="22"/>
        </w:rPr>
        <w:t>Selling books → Opening a marketplace → Building warehousing → Selling fulfillment services → Selling advertising → Selling cloud infrastructure</w:t>
      </w:r>
    </w:p>
    <w:p>
      <w:pPr>
        <w:spacing w:before="0" w:after="100" w:line="274" w:lineRule="auto"/>
      </w:pPr>
      <w:r>
        <w:rPr>
          <w:rFonts w:ascii="Calibri" w:hAnsi="Calibri"/>
          <w:b w:val="0"/>
          <w:i w:val="0"/>
          <w:color w:val="1A1A1A"/>
          <w:sz w:val="22"/>
        </w:rPr>
        <w:t xml:space="preserve">Each arrow obeys one rule: </w:t>
      </w:r>
      <w:r>
        <w:rPr>
          <w:rFonts w:ascii="Calibri" w:hAnsi="Calibri"/>
          <w:b/>
          <w:i w:val="0"/>
          <w:color w:val="1A1A1A"/>
          <w:sz w:val="22"/>
        </w:rPr>
        <w:t>build a capability because the business cannot function without it, standardise it until a stranger can use it, then sell access to it.</w:t>
      </w:r>
      <w:r>
        <w:rPr>
          <w:rFonts w:ascii="Calibri" w:hAnsi="Calibri"/>
          <w:b w:val="0"/>
          <w:i w:val="0"/>
          <w:color w:val="1A1A1A"/>
          <w:sz w:val="22"/>
        </w:rPr>
        <w:t xml:space="preserve"> The rule is not a historical observation but an operating policy still in force: Amazon Business, the procurement channel for firms rather than households, reached </w:t>
      </w:r>
      <w:r>
        <w:rPr>
          <w:rFonts w:ascii="Calibri" w:hAnsi="Calibri"/>
          <w:b/>
          <w:i w:val="0"/>
          <w:color w:val="1A1A1A"/>
          <w:sz w:val="22"/>
        </w:rPr>
        <w:t>USD 60 billion of annualised gross sales</w:t>
      </w:r>
      <w:r>
        <w:rPr>
          <w:rFonts w:ascii="Calibri" w:hAnsi="Calibri"/>
          <w:b w:val="0"/>
          <w:i w:val="0"/>
          <w:color w:val="1A1A1A"/>
          <w:sz w:val="22"/>
        </w:rPr>
        <w:t xml:space="preserve"> by mid-2026.</w:t>
      </w:r>
    </w:p>
    <w:p>
      <w:pPr>
        <w:spacing w:before="0" w:after="40" w:line="274" w:lineRule="auto"/>
      </w:pPr>
      <w:r>
        <w:rPr>
          <w:rFonts w:ascii="Calibri" w:hAnsi="Calibri"/>
          <w:b/>
          <w:i/>
          <w:color w:val="5A6472"/>
          <w:sz w:val="19"/>
        </w:rPr>
        <w:t>Table CS.1. Amazon read against the six levels of digital maturity (Table 1.7)</w:t>
      </w:r>
    </w:p>
    <w:tbl>
      <w:tblPr>
        <w:tblW w:type="dxa" w:w="9300"/>
        <w:jc w:val="center"/>
        <w:tblLayout w:type="fixed"/>
        <w:tblLook w:firstColumn="1" w:firstRow="1" w:lastColumn="0" w:lastRow="0" w:noHBand="0" w:noVBand="1" w:val="04A0"/>
      </w:tblPr>
      <w:tblGrid>
        <w:gridCol w:w="3137"/>
        <w:gridCol w:w="3137"/>
        <w:gridCol w:w="3137"/>
      </w:tblGrid>
      <w:tr>
        <w:tc>
          <w:tcPr>
            <w:tcW w:type="dxa" w:w="3137"/>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Level</w:t>
            </w:r>
          </w:p>
        </w:tc>
        <w:tc>
          <w:tcPr>
            <w:tcW w:type="dxa" w:w="3137"/>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What Amazon did, and roughly when</w:t>
            </w:r>
          </w:p>
        </w:tc>
        <w:tc>
          <w:tcPr>
            <w:tcW w:type="dxa" w:w="3137"/>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What actually changed</w:t>
            </w:r>
          </w:p>
        </w:tc>
      </w:tr>
      <w:tr>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2. Online Selling</w:t>
            </w:r>
          </w:p>
        </w:tc>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1995: books on a website, fulfilled through wholesalers</w:t>
            </w:r>
          </w:p>
        </w:tc>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 xml:space="preserve">The </w:t>
            </w:r>
            <w:r>
              <w:rPr>
                <w:rFonts w:ascii="Calibri" w:hAnsi="Calibri"/>
                <w:b w:val="0"/>
                <w:i/>
                <w:color w:val="20242B"/>
                <w:sz w:val="19"/>
              </w:rPr>
              <w:t>channel</w:t>
            </w:r>
            <w:r>
              <w:rPr>
                <w:rFonts w:ascii="Calibri" w:hAnsi="Calibri"/>
                <w:b w:val="0"/>
                <w:i w:val="0"/>
                <w:color w:val="20242B"/>
                <w:sz w:val="19"/>
              </w:rPr>
              <w:t xml:space="preserve"> only; nothing else in the business changes</w:t>
            </w:r>
          </w:p>
        </w:tc>
      </w:tr>
      <w:tr>
        <w:tc>
          <w:tcPr>
            <w:tcW w:type="dxa" w:w="3137"/>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3. E-commerce</w:t>
            </w:r>
          </w:p>
        </w:tc>
        <w:tc>
          <w:tcPr>
            <w:tcW w:type="dxa" w:w="3137"/>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1996–1999: own distribution centres, 1-Click (1997), customer reviews, integrated order and payment systems</w:t>
            </w:r>
          </w:p>
        </w:tc>
        <w:tc>
          <w:tcPr>
            <w:tcW w:type="dxa" w:w="3137"/>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 xml:space="preserve">The </w:t>
            </w:r>
            <w:r>
              <w:rPr>
                <w:rFonts w:ascii="Calibri" w:hAnsi="Calibri"/>
                <w:b w:val="0"/>
                <w:i/>
                <w:color w:val="20242B"/>
                <w:sz w:val="19"/>
              </w:rPr>
              <w:t>system</w:t>
            </w:r>
            <w:r>
              <w:rPr>
                <w:rFonts w:ascii="Calibri" w:hAnsi="Calibri"/>
                <w:b w:val="0"/>
                <w:i w:val="0"/>
                <w:color w:val="20242B"/>
                <w:sz w:val="19"/>
              </w:rPr>
              <w:t>: orders, stock, payment and delivery run on defined procedures, not by hand</w:t>
            </w:r>
          </w:p>
        </w:tc>
      </w:tr>
      <w:tr>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4. Digital Commerce</w:t>
            </w:r>
          </w:p>
        </w:tc>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2000–2006: third-party Marketplace, Prime (2005), Fulfillment by Amazon (2006)</w:t>
            </w:r>
          </w:p>
        </w:tc>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 xml:space="preserve">The </w:t>
            </w:r>
            <w:r>
              <w:rPr>
                <w:rFonts w:ascii="Calibri" w:hAnsi="Calibri"/>
                <w:b w:val="0"/>
                <w:i/>
                <w:color w:val="20242B"/>
                <w:sz w:val="19"/>
              </w:rPr>
              <w:t>experience</w:t>
            </w:r>
            <w:r>
              <w:rPr>
                <w:rFonts w:ascii="Calibri" w:hAnsi="Calibri"/>
                <w:b w:val="0"/>
                <w:i w:val="0"/>
                <w:color w:val="20242B"/>
                <w:sz w:val="19"/>
              </w:rPr>
              <w:t>: own goods, sellers' goods and a subscription merge into one journey</w:t>
            </w:r>
          </w:p>
        </w:tc>
      </w:tr>
      <w:tr>
        <w:tc>
          <w:tcPr>
            <w:tcW w:type="dxa" w:w="3137"/>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5. Digital Business</w:t>
            </w:r>
          </w:p>
        </w:tc>
        <w:tc>
          <w:tcPr>
            <w:tcW w:type="dxa" w:w="3137"/>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2006–2015: AWS (2006), demand forecasting, algorithmic pricing, the Buy Box, robotics after the USD 775 million Kiva Systems acquisition announced in March 2012</w:t>
            </w:r>
          </w:p>
        </w:tc>
        <w:tc>
          <w:tcPr>
            <w:tcW w:type="dxa" w:w="3137"/>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color w:val="20242B"/>
                <w:sz w:val="19"/>
              </w:rPr>
              <w:t>Decisions</w:t>
            </w:r>
            <w:r>
              <w:rPr>
                <w:rFonts w:ascii="Calibri" w:hAnsi="Calibri"/>
                <w:b w:val="0"/>
                <w:i w:val="0"/>
                <w:color w:val="20242B"/>
                <w:sz w:val="19"/>
              </w:rPr>
              <w:t>: data enters pricing, stock placement and capital allocation</w:t>
            </w:r>
          </w:p>
        </w:tc>
      </w:tr>
      <w:tr>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5 → 6. Data as product, then AI Commerce</w:t>
            </w:r>
          </w:p>
        </w:tc>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2012–2020: advertising built on purchase-intent data, USD 68.6 billion in FY2025; 2023–2026: Rufus and Alexa for Shopping as agentic assistants, and AI infrastructure sold through AWS — an AI business and a chips business each above a USD 25 billion annual run rate by Q2 2026</w:t>
            </w:r>
          </w:p>
        </w:tc>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 xml:space="preserve">The firm sells </w:t>
            </w:r>
            <w:r>
              <w:rPr>
                <w:rFonts w:ascii="Calibri" w:hAnsi="Calibri"/>
                <w:b w:val="0"/>
                <w:i/>
                <w:color w:val="20242B"/>
                <w:sz w:val="19"/>
              </w:rPr>
              <w:t>its own measurement capability</w:t>
            </w:r>
            <w:r>
              <w:rPr>
                <w:rFonts w:ascii="Calibri" w:hAnsi="Calibri"/>
                <w:b w:val="0"/>
                <w:i w:val="0"/>
                <w:color w:val="20242B"/>
                <w:sz w:val="19"/>
              </w:rPr>
              <w:t xml:space="preserve"> to others, then moves to </w:t>
            </w:r>
            <w:r>
              <w:rPr>
                <w:rFonts w:ascii="Calibri" w:hAnsi="Calibri"/>
                <w:b w:val="0"/>
                <w:i/>
                <w:color w:val="20242B"/>
                <w:sz w:val="19"/>
              </w:rPr>
              <w:t>cognitive automation</w:t>
            </w:r>
            <w:r>
              <w:rPr>
                <w:rFonts w:ascii="Calibri" w:hAnsi="Calibri"/>
                <w:b w:val="0"/>
                <w:i w:val="0"/>
                <w:color w:val="20242B"/>
                <w:sz w:val="19"/>
              </w:rPr>
              <w:t>: repeated decisions delegated, people setting objectives and limits</w:t>
            </w:r>
          </w:p>
        </w:tc>
      </w:tr>
    </w:tbl>
    <w:p>
      <w:pPr>
        <w:spacing w:before="40" w:after="120" w:line="274" w:lineRule="auto"/>
      </w:pPr>
      <w:r>
        <w:rPr>
          <w:rFonts w:ascii="Calibri" w:hAnsi="Calibri"/>
          <w:b w:val="0"/>
          <w:i/>
          <w:color w:val="5A6472"/>
          <w:sz w:val="18"/>
        </w:rPr>
        <w:t>Table 1.7 is a scale of integration between technology and the business model, not a quality ranking. Amazon is unusual not for reaching the top rung but for never having had to unlearn a lower one — Walmart shows the harder path of retrofitting the same capabilities onto an organisation built for something else.</w:t>
      </w:r>
    </w:p>
    <w:p>
      <w:pPr>
        <w:spacing w:before="0" w:after="100" w:line="274" w:lineRule="auto"/>
      </w:pPr>
      <w:r>
        <w:rPr>
          <w:rFonts w:ascii="Calibri" w:hAnsi="Calibri"/>
          <w:b w:val="0"/>
          <w:i w:val="0"/>
          <w:color w:val="1A1A1A"/>
          <w:sz w:val="22"/>
        </w:rPr>
        <w:t xml:space="preserve">The managerial problem of those first fifteen years is therefore not technological: </w:t>
      </w:r>
      <w:r>
        <w:rPr>
          <w:rFonts w:ascii="Calibri" w:hAnsi="Calibri"/>
          <w:b/>
          <w:i w:val="0"/>
          <w:color w:val="1A1A1A"/>
          <w:sz w:val="22"/>
        </w:rPr>
        <w:t>how does a listed company justify building capabilities that will not pay for a decade?</w:t>
      </w:r>
      <w:r>
        <w:rPr>
          <w:rFonts w:ascii="Calibri" w:hAnsi="Calibri"/>
          <w:b w:val="0"/>
          <w:i w:val="0"/>
          <w:color w:val="1A1A1A"/>
          <w:sz w:val="22"/>
        </w:rPr>
        <w:t xml:space="preserve"> Reporting on cash flow rather than accounting profit, and a board tolerant of loss, is a </w:t>
      </w:r>
      <w:r>
        <w:rPr>
          <w:rFonts w:ascii="Calibri" w:hAnsi="Calibri"/>
          <w:b w:val="0"/>
          <w:i/>
          <w:color w:val="1A1A1A"/>
          <w:sz w:val="22"/>
        </w:rPr>
        <w:t>governance</w:t>
      </w:r>
      <w:r>
        <w:rPr>
          <w:rFonts w:ascii="Calibri" w:hAnsi="Calibri"/>
          <w:b w:val="0"/>
          <w:i w:val="0"/>
          <w:color w:val="1A1A1A"/>
          <w:sz w:val="22"/>
        </w:rPr>
        <w:t xml:space="preserve"> answer to a </w:t>
      </w:r>
      <w:r>
        <w:rPr>
          <w:rFonts w:ascii="Calibri" w:hAnsi="Calibri"/>
          <w:b w:val="0"/>
          <w:i/>
          <w:color w:val="1A1A1A"/>
          <w:sz w:val="22"/>
        </w:rPr>
        <w:t>strategy</w:t>
      </w:r>
      <w:r>
        <w:rPr>
          <w:rFonts w:ascii="Calibri" w:hAnsi="Calibri"/>
          <w:b w:val="0"/>
          <w:i w:val="0"/>
          <w:color w:val="1A1A1A"/>
          <w:sz w:val="22"/>
        </w:rPr>
        <w:t xml:space="preserve"> question — the point at which most imitators fail. The same problem has returned in a new form: purchases of property and equipment reached </w:t>
      </w:r>
      <w:r>
        <w:rPr>
          <w:rFonts w:ascii="Calibri" w:hAnsi="Calibri"/>
          <w:b/>
          <w:i w:val="0"/>
          <w:color w:val="1A1A1A"/>
          <w:sz w:val="22"/>
        </w:rPr>
        <w:t>USD 131.8 billion in FY2025</w:t>
      </w:r>
      <w:r>
        <w:rPr>
          <w:rFonts w:ascii="Calibri" w:hAnsi="Calibri"/>
          <w:b w:val="0"/>
          <w:i w:val="0"/>
          <w:color w:val="1A1A1A"/>
          <w:sz w:val="22"/>
        </w:rPr>
        <w:t xml:space="preserve"> against USD 83.0 billion in FY2024, and management guided to </w:t>
      </w:r>
      <w:r>
        <w:rPr>
          <w:rFonts w:ascii="Calibri" w:hAnsi="Calibri"/>
          <w:b/>
          <w:i w:val="0"/>
          <w:color w:val="1A1A1A"/>
          <w:sz w:val="22"/>
        </w:rPr>
        <w:t>about USD 200 billion of capital expenditure in 2026</w:t>
      </w:r>
      <w:r>
        <w:rPr>
          <w:rFonts w:ascii="Calibri" w:hAnsi="Calibri"/>
          <w:b w:val="0"/>
          <w:i w:val="0"/>
          <w:color w:val="1A1A1A"/>
          <w:sz w:val="22"/>
        </w:rPr>
        <w:t>. The question of 1999 is the question of 2026, only two orders of magnitude larger.</w:t>
      </w:r>
    </w:p>
    <w:p>
      <w:pPr>
        <w:keepNext/>
        <w:spacing w:before="180" w:after="60"/>
      </w:pPr>
      <w:r>
        <w:rPr>
          <w:rFonts w:ascii="Cambria" w:hAnsi="Cambria"/>
          <w:b/>
          <w:color w:val="6D3B8E"/>
          <w:sz w:val="25"/>
        </w:rPr>
        <w:t>2. Business model: creating, delivering and capturing value</w:t>
      </w:r>
    </w:p>
    <w:p>
      <w:pPr>
        <w:spacing w:before="0" w:after="100" w:line="274" w:lineRule="auto"/>
      </w:pPr>
      <w:r>
        <w:rPr>
          <w:rFonts w:ascii="Calibri" w:hAnsi="Calibri"/>
          <w:b w:val="0"/>
          <w:i w:val="0"/>
          <w:color w:val="1A1A1A"/>
          <w:sz w:val="22"/>
        </w:rPr>
        <w:t>The operating logic is usually described as a self-reinforcing loop: a better customer experience attracts more buyers; more buyers attract more sellers; more sellers create more choice and more competitive prices; and that improves the experience again. In parallel, greater scale lowers cost per unit, allowing prices to fall and the loop to turn faster.</w:t>
      </w:r>
    </w:p>
    <w:p>
      <w:pPr>
        <w:spacing w:before="80" w:after="100"/>
        <w:jc w:val="center"/>
        <w:shd w:val="clear" w:color="auto" w:fill="F4F7FB"/>
      </w:pPr>
      <w:r>
        <w:rPr>
          <w:rFonts w:ascii="Calibri" w:hAnsi="Calibri"/>
          <w:b/>
          <w:i w:val="0"/>
          <w:color w:val="16224A"/>
          <w:sz w:val="22"/>
        </w:rPr>
        <w:t>Better experience → More buyers → More sellers → More choice &amp; better prices → Better experience</w:t>
      </w:r>
    </w:p>
    <w:p>
      <w:pPr>
        <w:spacing w:before="0" w:after="100" w:line="274" w:lineRule="auto"/>
      </w:pPr>
      <w:r>
        <w:rPr>
          <w:rFonts w:ascii="Calibri" w:hAnsi="Calibri"/>
          <w:b w:val="0"/>
          <w:i w:val="0"/>
          <w:color w:val="1A1A1A"/>
          <w:sz w:val="22"/>
        </w:rPr>
        <w:t xml:space="preserve">Two cautions belong with it. </w:t>
      </w:r>
      <w:r>
        <w:rPr>
          <w:rFonts w:ascii="Calibri" w:hAnsi="Calibri"/>
          <w:b/>
          <w:i w:val="0"/>
          <w:color w:val="1A1A1A"/>
          <w:sz w:val="22"/>
        </w:rPr>
        <w:t>A flywheel is a description, not a mechanism</w:t>
      </w:r>
      <w:r>
        <w:rPr>
          <w:rFonts w:ascii="Calibri" w:hAnsi="Calibri"/>
          <w:b w:val="0"/>
          <w:i w:val="0"/>
          <w:color w:val="1A1A1A"/>
          <w:sz w:val="22"/>
        </w:rPr>
        <w:t xml:space="preserve">: loops of this shape appear in every pitch deck and most never spin, because each arrow leaks — more sellers can mean more counterfeits rather than more choice. And the loop needs a </w:t>
      </w:r>
      <w:r>
        <w:rPr>
          <w:rFonts w:ascii="Calibri" w:hAnsi="Calibri"/>
          <w:b w:val="0"/>
          <w:i/>
          <w:color w:val="1A1A1A"/>
          <w:sz w:val="22"/>
        </w:rPr>
        <w:t>forcing function</w:t>
      </w:r>
      <w:r>
        <w:rPr>
          <w:rFonts w:ascii="Calibri" w:hAnsi="Calibri"/>
          <w:b w:val="0"/>
          <w:i w:val="0"/>
          <w:color w:val="1A1A1A"/>
          <w:sz w:val="22"/>
        </w:rPr>
        <w:t xml:space="preserve">; at Amazon that is </w:t>
      </w:r>
      <w:r>
        <w:rPr>
          <w:rFonts w:ascii="Calibri" w:hAnsi="Calibri"/>
          <w:b/>
          <w:i w:val="0"/>
          <w:color w:val="1A1A1A"/>
          <w:sz w:val="22"/>
        </w:rPr>
        <w:t>Prime</w:t>
      </w:r>
      <w:r>
        <w:rPr>
          <w:rFonts w:ascii="Calibri" w:hAnsi="Calibri"/>
          <w:b w:val="0"/>
          <w:i w:val="0"/>
          <w:color w:val="1A1A1A"/>
          <w:sz w:val="22"/>
        </w:rPr>
        <w:t xml:space="preserve">, a fee paid in advance that makes the marginal cost of the next order feel like zero. Amazon last disclosed a membership total in 2021 — more than 200 million paid members — and has published none since; what it does publish is the money, and subscription services revenue reached </w:t>
      </w:r>
      <w:r>
        <w:rPr>
          <w:rFonts w:ascii="Calibri" w:hAnsi="Calibri"/>
          <w:b/>
          <w:i w:val="0"/>
          <w:color w:val="1A1A1A"/>
          <w:sz w:val="22"/>
        </w:rPr>
        <w:t>USD 49.6 billion in FY2025</w:t>
      </w:r>
      <w:r>
        <w:rPr>
          <w:rFonts w:ascii="Calibri" w:hAnsi="Calibri"/>
          <w:b w:val="0"/>
          <w:i w:val="0"/>
          <w:color w:val="1A1A1A"/>
          <w:sz w:val="22"/>
        </w:rPr>
        <w:t>, up 12%. Independent estimates now cluster around 220–250 million members worldwide, and are estimates, not disclosures.</w:t>
      </w:r>
    </w:p>
    <w:p>
      <w:pPr>
        <w:spacing w:before="0" w:after="100" w:line="274" w:lineRule="auto"/>
      </w:pPr>
      <w:r>
        <w:rPr>
          <w:rFonts w:ascii="Calibri" w:hAnsi="Calibri"/>
          <w:b w:val="0"/>
          <w:i w:val="0"/>
          <w:color w:val="1A1A1A"/>
          <w:sz w:val="22"/>
        </w:rPr>
        <w:t xml:space="preserve">The proposition itself has been stable — </w:t>
      </w:r>
      <w:r>
        <w:rPr>
          <w:rFonts w:ascii="Calibri" w:hAnsi="Calibri"/>
          <w:b/>
          <w:i w:val="0"/>
          <w:color w:val="1A1A1A"/>
          <w:sz w:val="22"/>
        </w:rPr>
        <w:t>selection, price and convenience</w:t>
      </w:r>
      <w:r>
        <w:rPr>
          <w:rFonts w:ascii="Calibri" w:hAnsi="Calibri"/>
          <w:b w:val="0"/>
          <w:i w:val="0"/>
          <w:color w:val="1A1A1A"/>
          <w:sz w:val="22"/>
        </w:rPr>
        <w:t>. Selection is supplied mostly by third parties, which is why the marketplace matters; price is disciplined by putting competing offers on one page, including the firm's own; convenience is manufactured by the fulfilment network, the only one of the three a rival cannot simply buy.</w:t>
      </w:r>
    </w:p>
    <w:p>
      <w:pPr>
        <w:spacing w:before="0" w:after="100" w:line="274" w:lineRule="auto"/>
      </w:pPr>
      <w:r>
        <w:rPr>
          <w:rFonts w:ascii="Calibri" w:hAnsi="Calibri"/>
          <w:b w:val="0"/>
          <w:i w:val="0"/>
          <w:color w:val="1A1A1A"/>
          <w:sz w:val="22"/>
        </w:rPr>
        <w:t xml:space="preserve">Against the two pure forms this is a hybrid, and the hybrid is the single hardest thing in the case for students to hold in mind. A first-party retailer carries all inventory risk and books the whole order value as revenue; a marketplace carries none of that risk and books only its fee. Amazon does both in one set of accounts, so </w:t>
      </w:r>
      <w:r>
        <w:rPr>
          <w:rFonts w:ascii="Calibri" w:hAnsi="Calibri"/>
          <w:b/>
          <w:i w:val="0"/>
          <w:color w:val="1A1A1A"/>
          <w:sz w:val="22"/>
        </w:rPr>
        <w:t>its reported revenue overstates its retail scale relative to a marketplace and understates the goods flowing through it relative to a retailer</w:t>
      </w:r>
      <w:r>
        <w:rPr>
          <w:rFonts w:ascii="Calibri" w:hAnsi="Calibri"/>
          <w:b w:val="0"/>
          <w:i w:val="0"/>
          <w:color w:val="1A1A1A"/>
          <w:sz w:val="22"/>
        </w:rPr>
        <w:t xml:space="preserve">. Its scale economics depend on neither purchasing power nor participant numbers but on </w:t>
      </w:r>
      <w:r>
        <w:rPr>
          <w:rFonts w:ascii="Calibri" w:hAnsi="Calibri"/>
          <w:b/>
          <w:i w:val="0"/>
          <w:color w:val="1A1A1A"/>
          <w:sz w:val="22"/>
        </w:rPr>
        <w:t>order density in a geography</w:t>
      </w:r>
      <w:r>
        <w:rPr>
          <w:rFonts w:ascii="Calibri" w:hAnsi="Calibri"/>
          <w:b w:val="0"/>
          <w:i w:val="0"/>
          <w:color w:val="1A1A1A"/>
          <w:sz w:val="22"/>
        </w:rPr>
        <w:t>.</w:t>
      </w:r>
    </w:p>
    <w:p>
      <w:pPr>
        <w:spacing w:before="0" w:after="40" w:line="274" w:lineRule="auto"/>
      </w:pPr>
      <w:r>
        <w:rPr>
          <w:rFonts w:ascii="Calibri" w:hAnsi="Calibri"/>
          <w:b/>
          <w:i/>
          <w:color w:val="5A6472"/>
          <w:sz w:val="19"/>
        </w:rPr>
        <w:t>Table CS.2. Three ways to run a shop: pure retailer, pure marketplace, and the Amazon hybrid</w:t>
      </w:r>
    </w:p>
    <w:tbl>
      <w:tblPr>
        <w:tblW w:type="dxa" w:w="9300"/>
        <w:jc w:val="center"/>
        <w:tblLayout w:type="fixed"/>
        <w:tblLook w:firstColumn="1" w:firstRow="1" w:lastColumn="0" w:lastRow="0" w:noHBand="0" w:noVBand="1" w:val="04A0"/>
      </w:tblPr>
      <w:tblGrid>
        <w:gridCol w:w="2353"/>
        <w:gridCol w:w="2353"/>
        <w:gridCol w:w="2353"/>
        <w:gridCol w:w="2353"/>
      </w:tblGrid>
      <w:tr>
        <w:tc>
          <w:tcPr>
            <w:tcW w:type="dxa" w:w="2353"/>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Dimension</w:t>
            </w:r>
          </w:p>
        </w:tc>
        <w:tc>
          <w:tcPr>
            <w:tcW w:type="dxa" w:w="2353"/>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Pure first-party retailer</w:t>
            </w:r>
          </w:p>
        </w:tc>
        <w:tc>
          <w:tcPr>
            <w:tcW w:type="dxa" w:w="2353"/>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Pure marketplace</w:t>
            </w:r>
          </w:p>
        </w:tc>
        <w:tc>
          <w:tcPr>
            <w:tcW w:type="dxa" w:w="2353"/>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Amazon hybrid</w:t>
            </w:r>
          </w:p>
        </w:tc>
      </w:tr>
      <w:tr>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Who owns the goods</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The firm — every unit is bought before it is sold</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Nobody on the platform side; the seller owns them throughout</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Both, on the same product page, competing for the same customer</w:t>
            </w:r>
          </w:p>
        </w:tc>
      </w:tr>
      <w:tr>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What enters revenue</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The full order value</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Only the fee retained on the transaction</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The full value of first-party orders (USD 269.3bn in FY2025) plus only the fees on third-party orders (USD 172.2bn)</w:t>
            </w:r>
          </w:p>
        </w:tc>
      </w:tr>
      <w:tr>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Who bears inventory and markdown risk</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The firm; unsold stock is a write-down</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The seller</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Shared and asymmetric: Amazon carries risk on its own selection, sellers carry it on 61% of paid units</w:t>
            </w:r>
          </w:p>
        </w:tc>
      </w:tr>
      <w:tr>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What scale buys</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Purchasing power with suppliers</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More participants on both sides, hence liquidity</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Order density in a postcode — a fixed-cost delivery network amortised across more parcels</w:t>
            </w:r>
          </w:p>
        </w:tc>
      </w:tr>
      <w:tr>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Structural conflict of interest</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None: the firm competes only outside itself</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None: the platform does not sell</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Permanent: the firm ranks offers in an auction it also enters, which is what regulators act on</w:t>
            </w:r>
          </w:p>
        </w:tc>
      </w:tr>
      <w:tr>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How the accounts mislead</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Revenue flatters scale</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Revenue understates the market matched</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Both distortions at once</w:t>
            </w:r>
          </w:p>
        </w:tc>
      </w:tr>
    </w:tbl>
    <w:p>
      <w:pPr>
        <w:spacing w:before="40" w:after="120" w:line="274" w:lineRule="auto"/>
      </w:pPr>
      <w:r>
        <w:rPr>
          <w:rFonts w:ascii="Calibri" w:hAnsi="Calibri"/>
          <w:b w:val="0"/>
          <w:i/>
          <w:color w:val="5A6472"/>
          <w:sz w:val="18"/>
        </w:rPr>
        <w:t>The last row is the teaching point. Comparing Amazon's revenue with a pure marketplace's revenue, or with a pure retailer's, is a category error in both directions. Only the disaggregated lines in Table CS.4 permit a comparison, and even then only line by line.</w:t>
      </w:r>
    </w:p>
    <w:p>
      <w:pPr>
        <w:spacing w:before="0" w:after="40" w:line="274" w:lineRule="auto"/>
      </w:pPr>
      <w:r>
        <w:rPr>
          <w:rFonts w:ascii="Calibri" w:hAnsi="Calibri"/>
          <w:b/>
          <w:i/>
          <w:color w:val="5A6472"/>
          <w:sz w:val="19"/>
        </w:rPr>
        <w:t>Table CS.3. Five activity groups, their role in the model, and their FY2025 scale</w:t>
      </w:r>
    </w:p>
    <w:tbl>
      <w:tblPr>
        <w:tblW w:type="dxa" w:w="9300"/>
        <w:jc w:val="center"/>
        <w:tblLayout w:type="fixed"/>
        <w:tblLook w:firstColumn="1" w:firstRow="1" w:lastColumn="0" w:lastRow="0" w:noHBand="0" w:noVBand="1" w:val="04A0"/>
      </w:tblPr>
      <w:tblGrid>
        <w:gridCol w:w="2353"/>
        <w:gridCol w:w="2353"/>
        <w:gridCol w:w="2353"/>
        <w:gridCol w:w="2353"/>
      </w:tblGrid>
      <w:tr>
        <w:tc>
          <w:tcPr>
            <w:tcW w:type="dxa" w:w="2353"/>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Activity group</w:t>
            </w:r>
          </w:p>
        </w:tc>
        <w:tc>
          <w:tcPr>
            <w:tcW w:type="dxa" w:w="2353"/>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Nature and role in the system</w:t>
            </w:r>
          </w:p>
        </w:tc>
        <w:tc>
          <w:tcPr>
            <w:tcW w:type="dxa" w:w="2353"/>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FY2025 revenue</w:t>
            </w:r>
          </w:p>
        </w:tc>
        <w:tc>
          <w:tcPr>
            <w:tcW w:type="dxa" w:w="2353"/>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Margin characteristics</w:t>
            </w:r>
          </w:p>
        </w:tc>
      </w:tr>
      <w:tr>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Direct retail (first-party)</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Buying goods, holding inventory, reselling; generates traffic and habit, and sets the price reference for the page</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USD 269.3bn online stores plus USD 22.6bn physical stores</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Thin margin, fierce price competition</w:t>
            </w:r>
          </w:p>
        </w:tc>
      </w:tr>
      <w:tr>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Seller services (marketplace, fulfillment)</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Renting out access to demand and warehousing; turns the fixed cost of warehousing into revenue and grows the catalogue without inventory capital</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USD 172.2bn</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Better margin than retail, improving with scale</w:t>
            </w:r>
          </w:p>
        </w:tc>
      </w:tr>
      <w:tr>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Subscription (Prime)</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Selling a delivery commitment for a fee paid in advance; converts an occasional buyer into a default buyer — the flywheel's forcing function</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USD 49.6bn</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Revenue fixed and predictable; cost of serving it variable</w:t>
            </w:r>
          </w:p>
        </w:tc>
      </w:tr>
      <w:tr>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Advertising</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Selling display positions at the point of purchase intent; monetises existing traffic and recovers margin surrendered in price competition</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USD 68.6bn</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Very high margin, almost no variable cost</w:t>
            </w:r>
          </w:p>
        </w:tc>
      </w:tr>
      <w:tr>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Cloud computing infrastructure</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Renting out computing and storage capacity; the main profit source, funding long-term investment</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USD 128.7bn</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High margin — 35.4% segment operating margin in FY2025</w:t>
            </w:r>
          </w:p>
        </w:tc>
      </w:tr>
    </w:tbl>
    <w:p>
      <w:pPr>
        <w:spacing w:before="40" w:after="120" w:line="274" w:lineRule="auto"/>
      </w:pPr>
      <w:r>
        <w:rPr>
          <w:rFonts w:ascii="Calibri" w:hAnsi="Calibri"/>
          <w:b w:val="0"/>
          <w:i/>
          <w:color w:val="5A6472"/>
          <w:sz w:val="18"/>
        </w:rPr>
        <w:t xml:space="preserve">The five rows are five answers to the seventh of the chapter's seven questions — </w:t>
      </w:r>
      <w:r>
        <w:rPr>
          <w:rFonts w:ascii="Calibri" w:hAnsi="Calibri"/>
          <w:b w:val="0"/>
          <w:i/>
          <w:color w:val="5A6472"/>
          <w:sz w:val="18"/>
        </w:rPr>
        <w:t>who bears the risk</w:t>
      </w:r>
      <w:r>
        <w:rPr>
          <w:rFonts w:ascii="Calibri" w:hAnsi="Calibri"/>
          <w:b w:val="0"/>
          <w:i/>
          <w:color w:val="5A6472"/>
          <w:sz w:val="18"/>
        </w:rPr>
        <w:t>. Revenue figures are FY2025 reported disaggregated net sales; the remaining USD 5.9 billion is other revenue, chiefly shipping services, healthcare and co-branded card agreements.</w:t>
      </w:r>
    </w:p>
    <w:p>
      <w:pPr>
        <w:spacing w:before="0" w:after="100" w:line="274" w:lineRule="auto"/>
      </w:pPr>
      <w:r>
        <w:rPr>
          <w:rFonts w:ascii="Calibri" w:hAnsi="Calibri"/>
          <w:b w:val="0"/>
          <w:i w:val="0"/>
          <w:color w:val="1A1A1A"/>
          <w:sz w:val="22"/>
        </w:rPr>
        <w:t xml:space="preserve">The key point for learners follows: </w:t>
      </w:r>
      <w:r>
        <w:rPr>
          <w:rFonts w:ascii="Calibri" w:hAnsi="Calibri"/>
          <w:b/>
          <w:i w:val="0"/>
          <w:color w:val="1A1A1A"/>
          <w:sz w:val="22"/>
        </w:rPr>
        <w:t>the activity group generating the largest revenue is not the one generating the largest profit</w:t>
      </w:r>
      <w:r>
        <w:rPr>
          <w:rFonts w:ascii="Calibri" w:hAnsi="Calibri"/>
          <w:b w:val="0"/>
          <w:i w:val="0"/>
          <w:color w:val="1A1A1A"/>
          <w:sz w:val="22"/>
        </w:rPr>
        <w:t xml:space="preserve">. First-party retail is 37.6% of FY2025 revenue on a very thin margin, while AWS is 18.0% of revenue and 57% of operating income. This is the vivid illustration of </w:t>
      </w:r>
      <w:r>
        <w:rPr>
          <w:rFonts w:ascii="Calibri" w:hAnsi="Calibri"/>
          <w:b w:val="0"/>
          <w:i/>
          <w:color w:val="1A1A1A"/>
          <w:sz w:val="22"/>
        </w:rPr>
        <w:t>GMV ≠ Revenue ≠ Profit</w:t>
      </w:r>
      <w:r>
        <w:rPr>
          <w:rFonts w:ascii="Calibri" w:hAnsi="Calibri"/>
          <w:b w:val="0"/>
          <w:i w:val="0"/>
          <w:color w:val="1A1A1A"/>
          <w:sz w:val="22"/>
        </w:rPr>
        <w:t xml:space="preserve"> in Section 10.3, and it is now measurable to one decimal place rather than merely asserted.</w:t>
      </w:r>
    </w:p>
    <w:p>
      <w:pPr>
        <w:spacing w:before="0" w:after="100" w:line="274" w:lineRule="auto"/>
      </w:pPr>
      <w:r>
        <w:rPr>
          <w:rFonts w:ascii="Calibri" w:hAnsi="Calibri"/>
          <w:b w:val="0"/>
          <w:i w:val="0"/>
          <w:color w:val="1A1A1A"/>
          <w:sz w:val="22"/>
        </w:rPr>
        <w:t xml:space="preserve">The streams are also </w:t>
      </w:r>
      <w:r>
        <w:rPr>
          <w:rFonts w:ascii="Calibri" w:hAnsi="Calibri"/>
          <w:b/>
          <w:i w:val="0"/>
          <w:color w:val="1A1A1A"/>
          <w:sz w:val="22"/>
        </w:rPr>
        <w:t>sequenced</w:t>
      </w:r>
      <w:r>
        <w:rPr>
          <w:rFonts w:ascii="Calibri" w:hAnsi="Calibri"/>
          <w:b w:val="0"/>
          <w:i w:val="0"/>
          <w:color w:val="1A1A1A"/>
          <w:sz w:val="22"/>
        </w:rPr>
        <w:t xml:space="preserve">, not stacked: retail creates traffic; the marketplace turns traffic into catalogue breadth; breadth plus Prime concentrates purchase intent; concentrated intent is what advertising sells; and cash from advertising and cloud funds the infrastructure that keeps retail prices low. </w:t>
      </w:r>
      <w:r>
        <w:rPr>
          <w:rFonts w:ascii="Calibri" w:hAnsi="Calibri"/>
          <w:b/>
          <w:i w:val="0"/>
          <w:color w:val="1A1A1A"/>
          <w:sz w:val="22"/>
        </w:rPr>
        <w:t>The model is a pipeline, in which the low-margin businesses are the raw material for the high-margin ones</w:t>
      </w:r>
      <w:r>
        <w:rPr>
          <w:rFonts w:ascii="Calibri" w:hAnsi="Calibri"/>
          <w:b w:val="0"/>
          <w:i w:val="0"/>
          <w:color w:val="1A1A1A"/>
          <w:sz w:val="22"/>
        </w:rPr>
        <w:t xml:space="preserve"> — which is why a structural remedy is the regulatory instrument Amazon fears most.</w:t>
      </w:r>
    </w:p>
    <w:p>
      <w:pPr>
        <w:keepNext/>
        <w:spacing w:before="180" w:after="60"/>
      </w:pPr>
      <w:r>
        <w:rPr>
          <w:rFonts w:ascii="Cambria" w:hAnsi="Cambria"/>
          <w:b/>
          <w:color w:val="6D3B8E"/>
          <w:sz w:val="25"/>
        </w:rPr>
        <w:t>3. The operating machine: how an order moves, and how the data closes the loop</w:t>
      </w:r>
    </w:p>
    <w:p>
      <w:pPr>
        <w:spacing w:before="0" w:after="100" w:line="274" w:lineRule="auto"/>
      </w:pPr>
      <w:r>
        <w:rPr>
          <w:rFonts w:ascii="Calibri" w:hAnsi="Calibri"/>
          <w:b w:val="0"/>
          <w:i w:val="0"/>
          <w:color w:val="1A1A1A"/>
          <w:sz w:val="22"/>
        </w:rPr>
        <w:t xml:space="preserve">Amazon runs on four stacked layers: </w:t>
      </w:r>
      <w:r>
        <w:rPr>
          <w:rFonts w:ascii="Calibri" w:hAnsi="Calibri"/>
          <w:b/>
          <w:i w:val="0"/>
          <w:color w:val="1A1A1A"/>
          <w:sz w:val="22"/>
        </w:rPr>
        <w:t>physical</w:t>
      </w:r>
      <w:r>
        <w:rPr>
          <w:rFonts w:ascii="Calibri" w:hAnsi="Calibri"/>
          <w:b w:val="0"/>
          <w:i w:val="0"/>
          <w:color w:val="1A1A1A"/>
          <w:sz w:val="22"/>
        </w:rPr>
        <w:t xml:space="preserve"> (moving goods), </w:t>
      </w:r>
      <w:r>
        <w:rPr>
          <w:rFonts w:ascii="Calibri" w:hAnsi="Calibri"/>
          <w:b/>
          <w:i w:val="0"/>
          <w:color w:val="1A1A1A"/>
          <w:sz w:val="22"/>
        </w:rPr>
        <w:t>data</w:t>
      </w:r>
      <w:r>
        <w:rPr>
          <w:rFonts w:ascii="Calibri" w:hAnsi="Calibri"/>
          <w:b w:val="0"/>
          <w:i w:val="0"/>
          <w:color w:val="1A1A1A"/>
          <w:sz w:val="22"/>
        </w:rPr>
        <w:t xml:space="preserve"> (deciding where goods sit before anyone orders them), </w:t>
      </w:r>
      <w:r>
        <w:rPr>
          <w:rFonts w:ascii="Calibri" w:hAnsi="Calibri"/>
          <w:b/>
          <w:i w:val="0"/>
          <w:color w:val="1A1A1A"/>
          <w:sz w:val="22"/>
        </w:rPr>
        <w:t>commercial</w:t>
      </w:r>
      <w:r>
        <w:rPr>
          <w:rFonts w:ascii="Calibri" w:hAnsi="Calibri"/>
          <w:b w:val="0"/>
          <w:i w:val="0"/>
          <w:color w:val="1A1A1A"/>
          <w:sz w:val="22"/>
        </w:rPr>
        <w:t xml:space="preserve"> (deciding whose offer a customer sees) and </w:t>
      </w:r>
      <w:r>
        <w:rPr>
          <w:rFonts w:ascii="Calibri" w:hAnsi="Calibri"/>
          <w:b/>
          <w:i w:val="0"/>
          <w:color w:val="1A1A1A"/>
          <w:sz w:val="22"/>
        </w:rPr>
        <w:t>infrastructure</w:t>
      </w:r>
      <w:r>
        <w:rPr>
          <w:rFonts w:ascii="Calibri" w:hAnsi="Calibri"/>
          <w:b w:val="0"/>
          <w:i w:val="0"/>
          <w:color w:val="1A1A1A"/>
          <w:sz w:val="22"/>
        </w:rPr>
        <w:t xml:space="preserve"> (carrying the other three, and itself sold on).</w:t>
      </w:r>
    </w:p>
    <w:p>
      <w:pPr>
        <w:keepNext/>
        <w:spacing w:before="160" w:after="60"/>
      </w:pPr>
      <w:r>
        <w:rPr>
          <w:rFonts w:ascii="Cambria" w:hAnsi="Cambria"/>
          <w:b/>
          <w:color w:val="1F4E79"/>
          <w:sz w:val="23"/>
        </w:rPr>
        <w:t>3.1. Physical and data layers: the delivery promise as an engineering problem</w:t>
      </w:r>
    </w:p>
    <w:p>
      <w:pPr>
        <w:spacing w:before="80" w:after="100"/>
        <w:jc w:val="center"/>
        <w:shd w:val="clear" w:color="auto" w:fill="F4F7FB"/>
      </w:pPr>
      <w:r>
        <w:rPr>
          <w:rFonts w:ascii="Calibri" w:hAnsi="Calibri"/>
          <w:b/>
          <w:i w:val="0"/>
          <w:color w:val="16224A"/>
          <w:sz w:val="22"/>
        </w:rPr>
        <w:t>Demand forecast → Inbound placement → Pick and pack → Sortation → Delivery station → Last mile → Returns</w:t>
      </w:r>
    </w:p>
    <w:p>
      <w:pPr>
        <w:spacing w:before="0" w:after="100" w:line="274" w:lineRule="auto"/>
      </w:pPr>
      <w:r>
        <w:rPr>
          <w:rFonts w:ascii="Calibri" w:hAnsi="Calibri"/>
          <w:b w:val="0"/>
          <w:i w:val="0"/>
          <w:color w:val="1A1A1A"/>
          <w:sz w:val="22"/>
        </w:rPr>
        <w:t xml:space="preserve">Two decisions do most of the work. </w:t>
      </w:r>
      <w:r>
        <w:rPr>
          <w:rFonts w:ascii="Calibri" w:hAnsi="Calibri"/>
          <w:b/>
          <w:i w:val="0"/>
          <w:color w:val="1A1A1A"/>
          <w:sz w:val="22"/>
        </w:rPr>
        <w:t>Automation of the pick</w:t>
      </w:r>
      <w:r>
        <w:rPr>
          <w:rFonts w:ascii="Calibri" w:hAnsi="Calibri"/>
          <w:b w:val="0"/>
          <w:i w:val="0"/>
          <w:color w:val="1A1A1A"/>
          <w:sz w:val="22"/>
        </w:rPr>
        <w:t xml:space="preserve">: the acquisition of Kiva Systems, announced on 19 March 2012 for </w:t>
      </w:r>
      <w:r>
        <w:rPr>
          <w:rFonts w:ascii="Calibri" w:hAnsi="Calibri"/>
          <w:b/>
          <w:i w:val="0"/>
          <w:color w:val="1A1A1A"/>
          <w:sz w:val="22"/>
        </w:rPr>
        <w:t>USD 775 million in cash</w:t>
      </w:r>
      <w:r>
        <w:rPr>
          <w:rFonts w:ascii="Calibri" w:hAnsi="Calibri"/>
          <w:b w:val="0"/>
          <w:i w:val="0"/>
          <w:color w:val="1A1A1A"/>
          <w:sz w:val="22"/>
        </w:rPr>
        <w:t xml:space="preserve">, turned the warehouse from a place where people walk to shelves into one where shelves are driven to people. The point is not labour saving but </w:t>
      </w:r>
      <w:r>
        <w:rPr>
          <w:rFonts w:ascii="Calibri" w:hAnsi="Calibri"/>
          <w:b/>
          <w:i w:val="0"/>
          <w:color w:val="1A1A1A"/>
          <w:sz w:val="22"/>
        </w:rPr>
        <w:t>density</w:t>
      </w:r>
      <w:r>
        <w:rPr>
          <w:rFonts w:ascii="Calibri" w:hAnsi="Calibri"/>
          <w:b w:val="0"/>
          <w:i w:val="0"/>
          <w:color w:val="1A1A1A"/>
          <w:sz w:val="22"/>
        </w:rPr>
        <w:t xml:space="preserve"> — more distinct items per square metre is what makes a fast promise possible on a long-tail catalogue rather than only on bestsellers. And </w:t>
      </w:r>
      <w:r>
        <w:rPr>
          <w:rFonts w:ascii="Calibri" w:hAnsi="Calibri"/>
          <w:b/>
          <w:i w:val="0"/>
          <w:color w:val="1A1A1A"/>
          <w:sz w:val="22"/>
        </w:rPr>
        <w:t>network topology</w:t>
      </w:r>
      <w:r>
        <w:rPr>
          <w:rFonts w:ascii="Calibri" w:hAnsi="Calibri"/>
          <w:b w:val="0"/>
          <w:i w:val="0"/>
          <w:color w:val="1A1A1A"/>
          <w:sz w:val="22"/>
        </w:rPr>
        <w:t>: regional clusters shorten the distance an average parcel travels without adding buildings. A delivery network is a fixed-cost asset; every extra order in the same postcode lowers the cost of all the others, which is why the firm accepts negative margin to win volume in a geography and why the strategy is near-useless where density is thin.</w:t>
      </w:r>
    </w:p>
    <w:p>
      <w:pPr>
        <w:spacing w:before="0" w:after="100" w:line="274" w:lineRule="auto"/>
      </w:pPr>
      <w:r>
        <w:rPr>
          <w:rFonts w:ascii="Calibri" w:hAnsi="Calibri"/>
          <w:b w:val="0"/>
          <w:i w:val="0"/>
          <w:color w:val="1A1A1A"/>
          <w:sz w:val="22"/>
        </w:rPr>
        <w:t xml:space="preserve">The economics are visible in the disclosures: worldwide shipping costs were </w:t>
      </w:r>
      <w:r>
        <w:rPr>
          <w:rFonts w:ascii="Calibri" w:hAnsi="Calibri"/>
          <w:b/>
          <w:i w:val="0"/>
          <w:color w:val="1A1A1A"/>
          <w:sz w:val="22"/>
        </w:rPr>
        <w:t>USD 31.5 billion in Q4 2025 alone</w:t>
      </w:r>
      <w:r>
        <w:rPr>
          <w:rFonts w:ascii="Calibri" w:hAnsi="Calibri"/>
          <w:b w:val="0"/>
          <w:i w:val="0"/>
          <w:color w:val="1A1A1A"/>
          <w:sz w:val="22"/>
        </w:rPr>
        <w:t>, growing 10% while paid units grew 12%. The whole point of density is that shipping cost grows more slowly than the units it moves; when the inequality reverses, as it did in Q2 2026, the network is being extended faster than it is being filled.</w:t>
      </w:r>
    </w:p>
    <w:p>
      <w:pPr>
        <w:spacing w:before="0" w:after="100" w:line="274" w:lineRule="auto"/>
      </w:pPr>
      <w:r>
        <w:rPr>
          <w:rFonts w:ascii="Calibri" w:hAnsi="Calibri"/>
          <w:b w:val="0"/>
          <w:i w:val="0"/>
          <w:color w:val="1A1A1A"/>
          <w:sz w:val="22"/>
        </w:rPr>
        <w:t xml:space="preserve">The visible outputs of the data layer — recommendations, ranked results, dynamic prices — are the least interesting part. The consequential use is </w:t>
      </w:r>
      <w:r>
        <w:rPr>
          <w:rFonts w:ascii="Calibri" w:hAnsi="Calibri"/>
          <w:b/>
          <w:i w:val="0"/>
          <w:color w:val="1A1A1A"/>
          <w:sz w:val="22"/>
        </w:rPr>
        <w:t>anticipatory placement</w:t>
      </w:r>
      <w:r>
        <w:rPr>
          <w:rFonts w:ascii="Calibri" w:hAnsi="Calibri"/>
          <w:b w:val="0"/>
          <w:i w:val="0"/>
          <w:color w:val="1A1A1A"/>
          <w:sz w:val="22"/>
        </w:rPr>
        <w:t xml:space="preserve">: deciding, before an order exists, which item sits in which building. This is the level 4 → level 5 transition of Section 8.1, where what changes is not the experience but </w:t>
      </w:r>
      <w:r>
        <w:rPr>
          <w:rFonts w:ascii="Calibri" w:hAnsi="Calibri"/>
          <w:b w:val="0"/>
          <w:i/>
          <w:color w:val="1A1A1A"/>
          <w:sz w:val="22"/>
        </w:rPr>
        <w:t>who decides</w:t>
      </w:r>
      <w:r>
        <w:rPr>
          <w:rFonts w:ascii="Calibri" w:hAnsi="Calibri"/>
          <w:b w:val="0"/>
          <w:i w:val="0"/>
          <w:color w:val="1A1A1A"/>
          <w:sz w:val="22"/>
        </w:rPr>
        <w:t xml:space="preserve">. Nor can the data be bought: it is a </w:t>
      </w:r>
      <w:r>
        <w:rPr>
          <w:rFonts w:ascii="Calibri" w:hAnsi="Calibri"/>
          <w:b/>
          <w:i w:val="0"/>
          <w:color w:val="1A1A1A"/>
          <w:sz w:val="22"/>
        </w:rPr>
        <w:t>residue of behaviour inside the system</w:t>
      </w:r>
      <w:r>
        <w:rPr>
          <w:rFonts w:ascii="Calibri" w:hAnsi="Calibri"/>
          <w:b w:val="0"/>
          <w:i w:val="0"/>
          <w:color w:val="1A1A1A"/>
          <w:sz w:val="22"/>
        </w:rPr>
        <w:t>, so it exists nowhere for a competitor to acquire.</w:t>
      </w:r>
    </w:p>
    <w:p>
      <w:pPr>
        <w:keepNext/>
        <w:spacing w:before="160" w:after="60"/>
      </w:pPr>
      <w:r>
        <w:rPr>
          <w:rFonts w:ascii="Cambria" w:hAnsi="Cambria"/>
          <w:b/>
          <w:color w:val="1F4E79"/>
          <w:sz w:val="23"/>
        </w:rPr>
        <w:t>3.2. The commercial layer: the Buy Box, or who controls the transaction</w:t>
      </w:r>
    </w:p>
    <w:p>
      <w:pPr>
        <w:spacing w:before="0" w:after="100" w:line="274" w:lineRule="auto"/>
      </w:pPr>
      <w:r>
        <w:rPr>
          <w:rFonts w:ascii="Calibri" w:hAnsi="Calibri"/>
          <w:b w:val="0"/>
          <w:i w:val="0"/>
          <w:color w:val="1A1A1A"/>
          <w:sz w:val="22"/>
        </w:rPr>
        <w:t xml:space="preserve">On a page where many sellers offer the same item, one offer is pre-selected — placed in the box the customer actually clicks. Amazon has never published the share of sales that flows through it; independent seller-tooling firms put it consistently at </w:t>
      </w:r>
      <w:r>
        <w:rPr>
          <w:rFonts w:ascii="Calibri" w:hAnsi="Calibri"/>
          <w:b/>
          <w:i w:val="0"/>
          <w:color w:val="1A1A1A"/>
          <w:sz w:val="22"/>
        </w:rPr>
        <w:t>around 80–82%</w:t>
      </w:r>
      <w:r>
        <w:rPr>
          <w:rFonts w:ascii="Calibri" w:hAnsi="Calibri"/>
          <w:b w:val="0"/>
          <w:i w:val="0"/>
          <w:color w:val="1A1A1A"/>
          <w:sz w:val="22"/>
        </w:rPr>
        <w:t>, and that estimate, not a disclosure, is what the argument below rests on. The selection is algorithmic, weighing price, delivery speed, seller performance and fulfilment method. Three consequences follow, and they are the heart of the chapter's third question.</w:t>
      </w:r>
    </w:p>
    <w:p>
      <w:pPr>
        <w:spacing w:after="60" w:line="269" w:lineRule="auto"/>
        <w:ind w:left="425" w:hanging="425"/>
      </w:pPr>
      <w:r>
        <w:rPr>
          <w:rFonts w:ascii="Calibri" w:hAnsi="Calibri"/>
          <w:b/>
          <w:color w:val="1F4E79"/>
          <w:sz w:val="22"/>
        </w:rPr>
        <w:t xml:space="preserve">1.  </w:t>
      </w:r>
      <w:r>
        <w:rPr>
          <w:rFonts w:ascii="Calibri" w:hAnsi="Calibri"/>
          <w:b/>
          <w:i w:val="0"/>
          <w:color w:val="1A1A1A"/>
          <w:sz w:val="22"/>
        </w:rPr>
        <w:t>The platform, not the seller, sets the terms of competition.</w:t>
      </w:r>
      <w:r>
        <w:rPr>
          <w:rFonts w:ascii="Calibri" w:hAnsi="Calibri"/>
          <w:b w:val="0"/>
          <w:i w:val="0"/>
          <w:color w:val="1A1A1A"/>
          <w:sz w:val="22"/>
        </w:rPr>
        <w:t xml:space="preserve"> By choosing what the ranking optimises for, it decides whether sellers compete on price, on speed, or on willingness to use the platform's own fulfilment service.</w:t>
      </w:r>
    </w:p>
    <w:p>
      <w:pPr>
        <w:spacing w:after="60" w:line="269" w:lineRule="auto"/>
        <w:ind w:left="425" w:hanging="425"/>
      </w:pPr>
      <w:r>
        <w:rPr>
          <w:rFonts w:ascii="Calibri" w:hAnsi="Calibri"/>
          <w:b/>
          <w:color w:val="1F4E79"/>
          <w:sz w:val="22"/>
        </w:rPr>
        <w:t xml:space="preserve">2.  </w:t>
      </w:r>
      <w:r>
        <w:rPr>
          <w:rFonts w:ascii="Calibri" w:hAnsi="Calibri"/>
          <w:b/>
          <w:i w:val="0"/>
          <w:color w:val="1A1A1A"/>
          <w:sz w:val="22"/>
        </w:rPr>
        <w:t>Using the platform's fulfilment service becomes close to compulsory.</w:t>
      </w:r>
      <w:r>
        <w:rPr>
          <w:rFonts w:ascii="Calibri" w:hAnsi="Calibri"/>
          <w:b w:val="0"/>
          <w:i w:val="0"/>
          <w:color w:val="1A1A1A"/>
          <w:sz w:val="22"/>
        </w:rPr>
        <w:t xml:space="preserve"> If speed is weighted heavily and only one method delivers it reliably, an optional service becomes a condition of visibility — the clearest instance of the gap between a </w:t>
      </w:r>
      <w:r>
        <w:rPr>
          <w:rFonts w:ascii="Calibri" w:hAnsi="Calibri"/>
          <w:b w:val="0"/>
          <w:i/>
          <w:color w:val="1A1A1A"/>
          <w:sz w:val="22"/>
        </w:rPr>
        <w:t>published fee</w:t>
      </w:r>
      <w:r>
        <w:rPr>
          <w:rFonts w:ascii="Calibri" w:hAnsi="Calibri"/>
          <w:b w:val="0"/>
          <w:i w:val="0"/>
          <w:color w:val="1A1A1A"/>
          <w:sz w:val="22"/>
        </w:rPr>
        <w:t xml:space="preserve"> and the </w:t>
      </w:r>
      <w:r>
        <w:rPr>
          <w:rFonts w:ascii="Calibri" w:hAnsi="Calibri"/>
          <w:b w:val="0"/>
          <w:i/>
          <w:color w:val="1A1A1A"/>
          <w:sz w:val="22"/>
        </w:rPr>
        <w:t>all-in cost</w:t>
      </w:r>
      <w:r>
        <w:rPr>
          <w:rFonts w:ascii="Calibri" w:hAnsi="Calibri"/>
          <w:b w:val="0"/>
          <w:i w:val="0"/>
          <w:color w:val="1A1A1A"/>
          <w:sz w:val="22"/>
        </w:rPr>
        <w:t xml:space="preserve"> of Section 10.2.</w:t>
      </w:r>
    </w:p>
    <w:p>
      <w:pPr>
        <w:spacing w:after="60" w:line="269" w:lineRule="auto"/>
        <w:ind w:left="425" w:hanging="425"/>
      </w:pPr>
      <w:r>
        <w:rPr>
          <w:rFonts w:ascii="Calibri" w:hAnsi="Calibri"/>
          <w:b/>
          <w:color w:val="1F4E79"/>
          <w:sz w:val="22"/>
        </w:rPr>
        <w:t xml:space="preserve">3.  </w:t>
      </w:r>
      <w:r>
        <w:rPr>
          <w:rFonts w:ascii="Calibri" w:hAnsi="Calibri"/>
          <w:b/>
          <w:i w:val="0"/>
          <w:color w:val="1A1A1A"/>
          <w:sz w:val="22"/>
        </w:rPr>
        <w:t>The platform is a participant in the auction it runs.</w:t>
      </w:r>
      <w:r>
        <w:rPr>
          <w:rFonts w:ascii="Calibri" w:hAnsi="Calibri"/>
          <w:b w:val="0"/>
          <w:i w:val="0"/>
          <w:color w:val="1A1A1A"/>
          <w:sz w:val="22"/>
        </w:rPr>
        <w:t xml:space="preserve"> When first-party goods compete for the same box, the referee is also a player, and the </w:t>
      </w:r>
      <w:r>
        <w:rPr>
          <w:rFonts w:ascii="Calibri" w:hAnsi="Calibri"/>
          <w:b w:val="0"/>
          <w:i/>
          <w:color w:val="1A1A1A"/>
          <w:sz w:val="22"/>
        </w:rPr>
        <w:t>structure</w:t>
      </w:r>
      <w:r>
        <w:rPr>
          <w:rFonts w:ascii="Calibri" w:hAnsi="Calibri"/>
          <w:b w:val="0"/>
          <w:i w:val="0"/>
          <w:color w:val="1A1A1A"/>
          <w:sz w:val="22"/>
        </w:rPr>
        <w:t xml:space="preserve"> is what competition authorities act on — structure, unlike intent, cannot be improved away. The European Commission's 2022 commitments decision required a second Buy Box offer to be displayed where a materially different competing offer exists, which is a remedy aimed at the structure rather than at any particular ranking decision.</w:t>
      </w:r>
    </w:p>
    <w:p>
      <w:pPr>
        <w:keepNext/>
        <w:spacing w:before="160" w:after="60"/>
      </w:pPr>
      <w:r>
        <w:rPr>
          <w:rFonts w:ascii="Cambria" w:hAnsi="Cambria"/>
          <w:b/>
          <w:color w:val="1F4E79"/>
          <w:sz w:val="23"/>
        </w:rPr>
        <w:t>3.3. Advertising and infrastructure: monetising intent, renting the machine itself</w:t>
      </w:r>
    </w:p>
    <w:p>
      <w:pPr>
        <w:spacing w:before="0" w:after="100" w:line="274" w:lineRule="auto"/>
      </w:pPr>
      <w:r>
        <w:rPr>
          <w:rFonts w:ascii="Calibri" w:hAnsi="Calibri"/>
          <w:b w:val="0"/>
          <w:i w:val="0"/>
          <w:color w:val="1A1A1A"/>
          <w:sz w:val="22"/>
        </w:rPr>
        <w:t xml:space="preserve">Above the commercial layer sits the sale of position. A social platform sells </w:t>
      </w:r>
      <w:r>
        <w:rPr>
          <w:rFonts w:ascii="Calibri" w:hAnsi="Calibri"/>
          <w:b w:val="0"/>
          <w:i/>
          <w:color w:val="1A1A1A"/>
          <w:sz w:val="22"/>
        </w:rPr>
        <w:t>attention</w:t>
      </w:r>
      <w:r>
        <w:rPr>
          <w:rFonts w:ascii="Calibri" w:hAnsi="Calibri"/>
          <w:b w:val="0"/>
          <w:i w:val="0"/>
          <w:color w:val="1A1A1A"/>
          <w:sz w:val="22"/>
        </w:rPr>
        <w:t xml:space="preserve"> and must infer intent; a search engine sells stated intent but not the transaction; Amazon sells </w:t>
      </w:r>
      <w:r>
        <w:rPr>
          <w:rFonts w:ascii="Calibri" w:hAnsi="Calibri"/>
          <w:b/>
          <w:i w:val="0"/>
          <w:color w:val="1A1A1A"/>
          <w:sz w:val="22"/>
        </w:rPr>
        <w:t>intent at the moment of purchase, with the transaction observed</w:t>
      </w:r>
      <w:r>
        <w:rPr>
          <w:rFonts w:ascii="Calibri" w:hAnsi="Calibri"/>
          <w:b w:val="0"/>
          <w:i w:val="0"/>
          <w:color w:val="1A1A1A"/>
          <w:sz w:val="22"/>
        </w:rPr>
        <w:t xml:space="preserve">, at a marginal cost of effectively zero — structurally the highest-margin activity in the company. The market has repriced it accordingly: at USD 68.6 billion in FY2025, growing 22%, Amazon is now the </w:t>
      </w:r>
      <w:r>
        <w:rPr>
          <w:rFonts w:ascii="Calibri" w:hAnsi="Calibri"/>
          <w:b/>
          <w:i w:val="0"/>
          <w:color w:val="1A1A1A"/>
          <w:sz w:val="22"/>
        </w:rPr>
        <w:t>third-largest digital advertising business in the world</w:t>
      </w:r>
      <w:r>
        <w:rPr>
          <w:rFonts w:ascii="Calibri" w:hAnsi="Calibri"/>
          <w:b w:val="0"/>
          <w:i w:val="0"/>
          <w:color w:val="1A1A1A"/>
          <w:sz w:val="22"/>
        </w:rPr>
        <w:t xml:space="preserve"> behind Meta and Google, with roughly 9% of global advertising revenue on industry estimates. It reached that position without producing any content, by owning the page on which buying decisions are made.</w:t>
      </w:r>
    </w:p>
    <w:p>
      <w:pPr>
        <w:spacing w:before="0" w:after="100" w:line="274" w:lineRule="auto"/>
      </w:pPr>
      <w:r>
        <w:rPr>
          <w:rFonts w:ascii="Calibri" w:hAnsi="Calibri"/>
          <w:b w:val="0"/>
          <w:i w:val="0"/>
          <w:color w:val="1A1A1A"/>
          <w:sz w:val="22"/>
        </w:rPr>
        <w:t>AWS was not conceived as a growth strategy. The retail business needed computing that internal teams could provision without negotiation, and building it forced the firm to expose its capabilities as standardised services with defined interfaces — and a capability standardised well enough for an internal stranger to use is already close to being a product.</w:t>
      </w:r>
    </w:p>
    <w:p>
      <w:pPr>
        <w:spacing w:before="80" w:after="100"/>
        <w:jc w:val="center"/>
        <w:shd w:val="clear" w:color="auto" w:fill="F4F7FB"/>
      </w:pPr>
      <w:r>
        <w:rPr>
          <w:rFonts w:ascii="Calibri" w:hAnsi="Calibri"/>
          <w:b/>
          <w:i w:val="0"/>
          <w:color w:val="16224A"/>
          <w:sz w:val="22"/>
        </w:rPr>
        <w:t>Internal need → Capability built → Capability standardised → Capability opened to outsiders → External revenue funds the next internal need</w:t>
      </w:r>
    </w:p>
    <w:p>
      <w:pPr>
        <w:spacing w:before="0" w:after="100" w:line="274" w:lineRule="auto"/>
      </w:pPr>
      <w:r>
        <w:rPr>
          <w:rFonts w:ascii="Calibri" w:hAnsi="Calibri"/>
          <w:b w:val="0"/>
          <w:i w:val="0"/>
          <w:color w:val="1A1A1A"/>
          <w:sz w:val="22"/>
        </w:rPr>
        <w:t xml:space="preserve">That loop carries a precondition students routinely miss: </w:t>
      </w:r>
      <w:r>
        <w:rPr>
          <w:rFonts w:ascii="Calibri" w:hAnsi="Calibri"/>
          <w:b/>
          <w:i w:val="0"/>
          <w:color w:val="1A1A1A"/>
          <w:sz w:val="22"/>
        </w:rPr>
        <w:t>a capability can only be sold once it has been standardised, documented and made usable without the team that built it.</w:t>
      </w:r>
      <w:r>
        <w:rPr>
          <w:rFonts w:ascii="Calibri" w:hAnsi="Calibri"/>
          <w:b w:val="0"/>
          <w:i w:val="0"/>
          <w:color w:val="1A1A1A"/>
          <w:sz w:val="22"/>
        </w:rPr>
        <w:t xml:space="preserve"> A warehouse run on tacit knowledge cannot be rented out. The strongest recent evidence is Amazon's own silicon: Trainium and Graviton, chips designed to lower the cost of Amazon's own computing, passed a </w:t>
      </w:r>
      <w:r>
        <w:rPr>
          <w:rFonts w:ascii="Calibri" w:hAnsi="Calibri"/>
          <w:b/>
          <w:i w:val="0"/>
          <w:color w:val="1A1A1A"/>
          <w:sz w:val="22"/>
        </w:rPr>
        <w:t>combined USD 10 billion annual revenue run rate</w:t>
      </w:r>
      <w:r>
        <w:rPr>
          <w:rFonts w:ascii="Calibri" w:hAnsi="Calibri"/>
          <w:b w:val="0"/>
          <w:i w:val="0"/>
          <w:color w:val="1A1A1A"/>
          <w:sz w:val="22"/>
        </w:rPr>
        <w:t xml:space="preserve"> by the end of FY2025 — an internal cost item turned into an external product line inside a decade, exactly as warehousing was.</w:t>
      </w:r>
    </w:p>
    <w:p>
      <w:pPr>
        <w:keepNext/>
        <w:spacing w:before="180" w:after="60"/>
      </w:pPr>
      <w:r>
        <w:rPr>
          <w:rFonts w:ascii="Cambria" w:hAnsi="Cambria"/>
          <w:b/>
          <w:color w:val="6D3B8E"/>
          <w:sz w:val="25"/>
        </w:rPr>
        <w:t>4. The numbers that matter: where revenue is, where profit is, and what a seller pays</w:t>
      </w:r>
    </w:p>
    <w:p>
      <w:pPr>
        <w:spacing w:before="0" w:after="100" w:line="274" w:lineRule="auto"/>
      </w:pPr>
      <w:r>
        <w:rPr>
          <w:rFonts w:ascii="Calibri" w:hAnsi="Calibri"/>
          <w:b w:val="0"/>
          <w:i w:val="0"/>
          <w:color w:val="1A1A1A"/>
          <w:sz w:val="22"/>
        </w:rPr>
        <w:t>Amazon's disclosed lines correspond almost exactly to the five activity groups above, so placing revenue and operating income side by side settles in one view the argument that a business cannot be read from its largest line. The two tables below are reported FY2025 data published on 5 February 2026; the calculations in Section 4.1 are, by contrast, explicitly assumed.</w:t>
      </w:r>
    </w:p>
    <w:p>
      <w:pPr>
        <w:spacing w:before="0" w:after="40" w:line="274" w:lineRule="auto"/>
      </w:pPr>
      <w:r>
        <w:rPr>
          <w:rFonts w:ascii="Calibri" w:hAnsi="Calibri"/>
          <w:b/>
          <w:i/>
          <w:color w:val="5A6472"/>
          <w:sz w:val="19"/>
        </w:rPr>
        <w:t>Table CS.4. Where the revenue is: disaggregated net sales, FY2024 and FY2025 (USD billion)</w:t>
      </w:r>
    </w:p>
    <w:tbl>
      <w:tblPr>
        <w:tblW w:type="dxa" w:w="9300"/>
        <w:jc w:val="center"/>
        <w:tblLayout w:type="fixed"/>
        <w:tblLook w:firstColumn="1" w:firstRow="1" w:lastColumn="0" w:lastRow="0" w:noHBand="0" w:noVBand="1" w:val="04A0"/>
      </w:tblPr>
      <w:tblGrid>
        <w:gridCol w:w="1882"/>
        <w:gridCol w:w="1882"/>
        <w:gridCol w:w="1882"/>
        <w:gridCol w:w="1882"/>
        <w:gridCol w:w="1882"/>
      </w:tblGrid>
      <w:tr>
        <w:tc>
          <w:tcPr>
            <w:tcW w:type="dxa" w:w="1882"/>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Revenue line</w:t>
            </w:r>
          </w:p>
        </w:tc>
        <w:tc>
          <w:tcPr>
            <w:tcW w:type="dxa" w:w="1882"/>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FY2024</w:t>
            </w:r>
          </w:p>
        </w:tc>
        <w:tc>
          <w:tcPr>
            <w:tcW w:type="dxa" w:w="1882"/>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FY2025</w:t>
            </w:r>
          </w:p>
        </w:tc>
        <w:tc>
          <w:tcPr>
            <w:tcW w:type="dxa" w:w="1882"/>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Y/Y</w:t>
            </w:r>
          </w:p>
        </w:tc>
        <w:tc>
          <w:tcPr>
            <w:tcW w:type="dxa" w:w="1882"/>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Share of FY2025</w:t>
            </w:r>
          </w:p>
        </w:tc>
      </w:tr>
      <w:tr>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Online stores (first-party retail)</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247.0</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269.3</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+9%</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37.6%</w:t>
            </w:r>
          </w:p>
        </w:tc>
      </w:tr>
      <w:tr>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Third-party seller services</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156.1</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172.2</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+10%</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24.0%</w:t>
            </w:r>
          </w:p>
        </w:tc>
      </w:tr>
      <w:tr>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AWS (cloud infrastructure)</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107.6</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128.7</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+20%</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18.0%</w:t>
            </w:r>
          </w:p>
        </w:tc>
      </w:tr>
      <w:tr>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Advertising services</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56.2</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68.6</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+22%</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9.6%</w:t>
            </w:r>
          </w:p>
        </w:tc>
      </w:tr>
      <w:tr>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Subscription services (Prime and other)</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44.4</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49.6</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+12%</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6.9%</w:t>
            </w:r>
          </w:p>
        </w:tc>
      </w:tr>
      <w:tr>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Physical stores and other</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26.6</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28.5</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+7%</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4.0%</w:t>
            </w:r>
          </w:p>
        </w:tc>
      </w:tr>
      <w:tr>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Total net sales</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638.0</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716.9</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+12%</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100%</w:t>
            </w:r>
          </w:p>
        </w:tc>
      </w:tr>
    </w:tbl>
    <w:p>
      <w:pPr>
        <w:spacing w:before="40" w:after="120" w:line="274" w:lineRule="auto"/>
      </w:pPr>
      <w:r>
        <w:rPr>
          <w:rFonts w:ascii="Calibri" w:hAnsi="Calibri"/>
          <w:b w:val="0"/>
          <w:i/>
          <w:color w:val="5A6472"/>
          <w:sz w:val="18"/>
        </w:rPr>
        <w:t xml:space="preserve">Reported results, Amazon.com, Inc. Q4 2025 earnings release, 5 February 2026; the last row is physical stores (USD 22.6bn) plus other revenue (USD 5.9bn — shipping services, healthcare, co-branded cards). A third-party seller's sales are </w:t>
      </w:r>
      <w:r>
        <w:rPr>
          <w:rFonts w:ascii="Calibri" w:hAnsi="Calibri"/>
          <w:b w:val="0"/>
          <w:i/>
          <w:color w:val="5A6472"/>
          <w:sz w:val="18"/>
        </w:rPr>
        <w:t>not</w:t>
      </w:r>
      <w:r>
        <w:rPr>
          <w:rFonts w:ascii="Calibri" w:hAnsi="Calibri"/>
          <w:b w:val="0"/>
          <w:i/>
          <w:color w:val="5A6472"/>
          <w:sz w:val="18"/>
        </w:rPr>
        <w:t xml:space="preserve"> in the online-stores line: only the fees retained appear, which is why goods transacted through the platform far exceed reported revenue. Advertising grew 2.4 times faster than first-party retail, and on the June 2026 quarter was still accelerating, at +26%.</w:t>
      </w:r>
    </w:p>
    <w:p>
      <w:pPr>
        <w:spacing w:before="0" w:after="40" w:line="274" w:lineRule="auto"/>
      </w:pPr>
      <w:r>
        <w:rPr>
          <w:rFonts w:ascii="Calibri" w:hAnsi="Calibri"/>
          <w:b/>
          <w:i/>
          <w:color w:val="5A6472"/>
          <w:sz w:val="19"/>
        </w:rPr>
        <w:t>Table CS.5. Where the profit is: reportable segments, FY2025 (USD billion)</w:t>
      </w:r>
    </w:p>
    <w:tbl>
      <w:tblPr>
        <w:tblW w:type="dxa" w:w="9300"/>
        <w:jc w:val="center"/>
        <w:tblLayout w:type="fixed"/>
        <w:tblLook w:firstColumn="1" w:firstRow="1" w:lastColumn="0" w:lastRow="0" w:noHBand="0" w:noVBand="1" w:val="04A0"/>
      </w:tblPr>
      <w:tblGrid>
        <w:gridCol w:w="1882"/>
        <w:gridCol w:w="1882"/>
        <w:gridCol w:w="1882"/>
        <w:gridCol w:w="1882"/>
        <w:gridCol w:w="1882"/>
      </w:tblGrid>
      <w:tr>
        <w:tc>
          <w:tcPr>
            <w:tcW w:type="dxa" w:w="1882"/>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Segment</w:t>
            </w:r>
          </w:p>
        </w:tc>
        <w:tc>
          <w:tcPr>
            <w:tcW w:type="dxa" w:w="1882"/>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Net sales</w:t>
            </w:r>
          </w:p>
        </w:tc>
        <w:tc>
          <w:tcPr>
            <w:tcW w:type="dxa" w:w="1882"/>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Operating income</w:t>
            </w:r>
          </w:p>
        </w:tc>
        <w:tc>
          <w:tcPr>
            <w:tcW w:type="dxa" w:w="1882"/>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Operating margin</w:t>
            </w:r>
          </w:p>
        </w:tc>
        <w:tc>
          <w:tcPr>
            <w:tcW w:type="dxa" w:w="1882"/>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Share of group operating income</w:t>
            </w:r>
          </w:p>
        </w:tc>
      </w:tr>
      <w:tr>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North America</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426.3</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29.6</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6.9%</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37.0%</w:t>
            </w:r>
          </w:p>
        </w:tc>
      </w:tr>
      <w:tr>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International</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161.9</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4.8</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2.9%</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5.9%</w:t>
            </w:r>
          </w:p>
        </w:tc>
      </w:tr>
      <w:tr>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AWS</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128.7</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45.6</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35.4%</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57.0%</w:t>
            </w:r>
          </w:p>
        </w:tc>
      </w:tr>
      <w:tr>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Group total</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716.9</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80.0</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11.2%</w:t>
            </w:r>
          </w:p>
        </w:tc>
        <w:tc>
          <w:tcPr>
            <w:tcW w:type="dxa" w:w="1882"/>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100%</w:t>
            </w:r>
          </w:p>
        </w:tc>
      </w:tr>
      <w:tr>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Memo: twelve months to 30 June 2026</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775.7</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93.7</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12.1%</w:t>
            </w:r>
          </w:p>
        </w:tc>
        <w:tc>
          <w:tcPr>
            <w:tcW w:type="dxa" w:w="1882"/>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AWS then 58.4%</w:t>
            </w:r>
          </w:p>
        </w:tc>
      </w:tr>
    </w:tbl>
    <w:p>
      <w:pPr>
        <w:spacing w:before="40" w:after="120" w:line="274" w:lineRule="auto"/>
      </w:pPr>
      <w:r>
        <w:rPr>
          <w:rFonts w:ascii="Calibri" w:hAnsi="Calibri"/>
          <w:b w:val="0"/>
          <w:i/>
          <w:color w:val="5A6472"/>
          <w:sz w:val="18"/>
        </w:rPr>
        <w:t>AWS produced 57.0% of group operating income from 18.0% of net sales in FY2025. The concentration is not a one-year artefact: it was 58.1% in FY2024 and 58.4% in the year to June 2026, when AWS grew 37% in a single quarter — its fastest in eighteen quarters.</w:t>
      </w:r>
    </w:p>
    <w:p>
      <w:pPr>
        <w:spacing w:before="0" w:after="100" w:line="274" w:lineRule="auto"/>
      </w:pPr>
      <w:r>
        <w:rPr>
          <w:rFonts w:ascii="Calibri" w:hAnsi="Calibri"/>
          <w:b w:val="0"/>
          <w:i w:val="0"/>
          <w:color w:val="1A1A1A"/>
          <w:sz w:val="22"/>
        </w:rPr>
        <w:t xml:space="preserve">Four readings follow, and the fourth is the one most often missed. </w:t>
      </w:r>
      <w:r>
        <w:rPr>
          <w:rFonts w:ascii="Calibri" w:hAnsi="Calibri"/>
          <w:b/>
          <w:i w:val="0"/>
          <w:color w:val="1A1A1A"/>
          <w:sz w:val="22"/>
        </w:rPr>
        <w:t>First</w:t>
      </w:r>
      <w:r>
        <w:rPr>
          <w:rFonts w:ascii="Calibri" w:hAnsi="Calibri"/>
          <w:b w:val="0"/>
          <w:i w:val="0"/>
          <w:color w:val="1A1A1A"/>
          <w:sz w:val="22"/>
        </w:rPr>
        <w:t xml:space="preserve">, 61% of paid units come from third-party sellers, yet those units enter revenue only as fees — the marketplace is the majority of the business by volume and a minority of it by revenue. </w:t>
      </w:r>
      <w:r>
        <w:rPr>
          <w:rFonts w:ascii="Calibri" w:hAnsi="Calibri"/>
          <w:b/>
          <w:i w:val="0"/>
          <w:color w:val="1A1A1A"/>
          <w:sz w:val="22"/>
        </w:rPr>
        <w:t>Second</w:t>
      </w:r>
      <w:r>
        <w:rPr>
          <w:rFonts w:ascii="Calibri" w:hAnsi="Calibri"/>
          <w:b w:val="0"/>
          <w:i w:val="0"/>
          <w:color w:val="1A1A1A"/>
          <w:sz w:val="22"/>
        </w:rPr>
        <w:t xml:space="preserve">, advertising at USD 68.6 billion is </w:t>
      </w:r>
      <w:r>
        <w:rPr>
          <w:rFonts w:ascii="Calibri" w:hAnsi="Calibri"/>
          <w:b w:val="0"/>
          <w:i/>
          <w:color w:val="1A1A1A"/>
          <w:sz w:val="22"/>
        </w:rPr>
        <w:t>recovered margin</w:t>
      </w:r>
      <w:r>
        <w:rPr>
          <w:rFonts w:ascii="Calibri" w:hAnsi="Calibri"/>
          <w:b w:val="0"/>
          <w:i w:val="0"/>
          <w:color w:val="1A1A1A"/>
          <w:sz w:val="22"/>
        </w:rPr>
        <w:t xml:space="preserve">: money surrendered in price competition, earned back by selling position on the page where that competition happens. </w:t>
      </w:r>
      <w:r>
        <w:rPr>
          <w:rFonts w:ascii="Calibri" w:hAnsi="Calibri"/>
          <w:b/>
          <w:i w:val="0"/>
          <w:color w:val="1A1A1A"/>
          <w:sz w:val="22"/>
        </w:rPr>
        <w:t>Third</w:t>
      </w:r>
      <w:r>
        <w:rPr>
          <w:rFonts w:ascii="Calibri" w:hAnsi="Calibri"/>
          <w:b w:val="0"/>
          <w:i w:val="0"/>
          <w:color w:val="1A1A1A"/>
          <w:sz w:val="22"/>
        </w:rPr>
        <w:t xml:space="preserve">, a firm earning 57% of its operating income from 18% of its revenue is, in the language of portfolio management, undiversified. </w:t>
      </w:r>
      <w:r>
        <w:rPr>
          <w:rFonts w:ascii="Calibri" w:hAnsi="Calibri"/>
          <w:b/>
          <w:i w:val="0"/>
          <w:color w:val="1A1A1A"/>
          <w:sz w:val="22"/>
        </w:rPr>
        <w:t>Fourth</w:t>
      </w:r>
      <w:r>
        <w:rPr>
          <w:rFonts w:ascii="Calibri" w:hAnsi="Calibri"/>
          <w:b w:val="0"/>
          <w:i w:val="0"/>
          <w:color w:val="1A1A1A"/>
          <w:sz w:val="22"/>
        </w:rPr>
        <w:t>, the International segment's 2.9% margin against North America's 6.9% is the clearest available measure of what order density is worth: the same model, technology and brand, in geographies where the network is not yet dense enough — and the margin is less than half.</w:t>
      </w:r>
    </w:p>
    <w:p>
      <w:pPr>
        <w:keepNext/>
        <w:spacing w:before="160" w:after="60"/>
      </w:pPr>
      <w:r>
        <w:rPr>
          <w:rFonts w:ascii="Cambria" w:hAnsi="Cambria"/>
          <w:b/>
          <w:color w:val="1F4E79"/>
          <w:sz w:val="23"/>
        </w:rPr>
        <w:t>4.1. A step-by-step calculation: what a marketplace seller really pays</w:t>
      </w:r>
    </w:p>
    <w:p>
      <w:pPr>
        <w:spacing w:before="0" w:after="100" w:line="274" w:lineRule="auto"/>
      </w:pPr>
      <w:r>
        <w:rPr>
          <w:rFonts w:ascii="Calibri" w:hAnsi="Calibri"/>
          <w:b w:val="0"/>
          <w:i w:val="0"/>
          <w:color w:val="1A1A1A"/>
          <w:sz w:val="22"/>
        </w:rPr>
        <w:t xml:space="preserve">The following is an </w:t>
      </w:r>
      <w:r>
        <w:rPr>
          <w:rFonts w:ascii="Calibri" w:hAnsi="Calibri"/>
          <w:b/>
          <w:i w:val="0"/>
          <w:color w:val="1A1A1A"/>
          <w:sz w:val="22"/>
        </w:rPr>
        <w:t>illustrative assumption built by the authors for teaching</w:t>
      </w:r>
      <w:r>
        <w:rPr>
          <w:rFonts w:ascii="Calibri" w:hAnsi="Calibri"/>
          <w:b w:val="0"/>
          <w:i w:val="0"/>
          <w:color w:val="1A1A1A"/>
          <w:sz w:val="22"/>
        </w:rPr>
        <w:t xml:space="preserve">, using commonly published fee levels rather than an official schedule, for a small standard item selling at </w:t>
      </w:r>
      <w:r>
        <w:rPr>
          <w:rFonts w:ascii="Calibri" w:hAnsi="Calibri"/>
          <w:b/>
          <w:i w:val="0"/>
          <w:color w:val="1A1A1A"/>
          <w:sz w:val="22"/>
        </w:rPr>
        <w:t>USD 40</w:t>
      </w:r>
      <w:r>
        <w:rPr>
          <w:rFonts w:ascii="Calibri" w:hAnsi="Calibri"/>
          <w:b w:val="0"/>
          <w:i w:val="0"/>
          <w:color w:val="1A1A1A"/>
          <w:sz w:val="22"/>
        </w:rPr>
        <w:t xml:space="preserve"> and fulfilled through the platform's own service. The assumptions are close to the real schedule — the referral fee for most categories remained 15% in 2026, and fulfilment fees rose an average of USD 0.08 per unit in January 2026 — but they are still assumptions, and every number below should be treated as a teaching device rather than a quotation.</w:t>
      </w:r>
    </w:p>
    <w:p>
      <w:pPr>
        <w:spacing w:after="60" w:line="269" w:lineRule="auto"/>
        <w:ind w:left="425" w:hanging="425"/>
      </w:pPr>
      <w:r>
        <w:rPr>
          <w:rFonts w:ascii="Calibri" w:hAnsi="Calibri"/>
          <w:b/>
          <w:color w:val="1F4E79"/>
          <w:sz w:val="22"/>
        </w:rPr>
        <w:t xml:space="preserve">1.  </w:t>
      </w:r>
      <w:r>
        <w:rPr>
          <w:rFonts w:ascii="Calibri" w:hAnsi="Calibri"/>
          <w:b/>
          <w:i w:val="0"/>
          <w:color w:val="1A1A1A"/>
          <w:sz w:val="22"/>
        </w:rPr>
        <w:t>Step 1 — Referral fee.</w:t>
      </w:r>
      <w:r>
        <w:rPr>
          <w:rFonts w:ascii="Calibri" w:hAnsi="Calibri"/>
          <w:b w:val="0"/>
          <w:i w:val="0"/>
          <w:color w:val="1A1A1A"/>
          <w:sz w:val="22"/>
        </w:rPr>
        <w:t xml:space="preserve"> Assume 15% of sale price: 40 × 0.15 = </w:t>
      </w:r>
      <w:r>
        <w:rPr>
          <w:rFonts w:ascii="Calibri" w:hAnsi="Calibri"/>
          <w:b/>
          <w:i w:val="0"/>
          <w:color w:val="1A1A1A"/>
          <w:sz w:val="22"/>
        </w:rPr>
        <w:t>USD 6.00</w:t>
      </w:r>
      <w:r>
        <w:rPr>
          <w:rFonts w:ascii="Calibri" w:hAnsi="Calibri"/>
          <w:b w:val="0"/>
          <w:i w:val="0"/>
          <w:color w:val="1A1A1A"/>
          <w:sz w:val="22"/>
        </w:rPr>
        <w:t xml:space="preserve"> — the figure most sellers quote when asked what the platform costs them.</w:t>
      </w:r>
    </w:p>
    <w:p>
      <w:pPr>
        <w:spacing w:after="60" w:line="269" w:lineRule="auto"/>
        <w:ind w:left="425" w:hanging="425"/>
      </w:pPr>
      <w:r>
        <w:rPr>
          <w:rFonts w:ascii="Calibri" w:hAnsi="Calibri"/>
          <w:b/>
          <w:color w:val="1F4E79"/>
          <w:sz w:val="22"/>
        </w:rPr>
        <w:t xml:space="preserve">2.  </w:t>
      </w:r>
      <w:r>
        <w:rPr>
          <w:rFonts w:ascii="Calibri" w:hAnsi="Calibri"/>
          <w:b/>
          <w:i w:val="0"/>
          <w:color w:val="1A1A1A"/>
          <w:sz w:val="22"/>
        </w:rPr>
        <w:t>Step 2 — Fulfilment and storage.</w:t>
      </w:r>
      <w:r>
        <w:rPr>
          <w:rFonts w:ascii="Calibri" w:hAnsi="Calibri"/>
          <w:b w:val="0"/>
          <w:i w:val="0"/>
          <w:color w:val="1A1A1A"/>
          <w:sz w:val="22"/>
        </w:rPr>
        <w:t xml:space="preserve"> Assume </w:t>
      </w:r>
      <w:r>
        <w:rPr>
          <w:rFonts w:ascii="Calibri" w:hAnsi="Calibri"/>
          <w:b/>
          <w:i w:val="0"/>
          <w:color w:val="1A1A1A"/>
          <w:sz w:val="22"/>
        </w:rPr>
        <w:t>USD 4.50</w:t>
      </w:r>
      <w:r>
        <w:rPr>
          <w:rFonts w:ascii="Calibri" w:hAnsi="Calibri"/>
          <w:b w:val="0"/>
          <w:i w:val="0"/>
          <w:color w:val="1A1A1A"/>
          <w:sz w:val="22"/>
        </w:rPr>
        <w:t xml:space="preserve"> for picking, packing and shipping, plus </w:t>
      </w:r>
      <w:r>
        <w:rPr>
          <w:rFonts w:ascii="Calibri" w:hAnsi="Calibri"/>
          <w:b/>
          <w:i w:val="0"/>
          <w:color w:val="1A1A1A"/>
          <w:sz w:val="22"/>
        </w:rPr>
        <w:t>USD 0.20</w:t>
      </w:r>
      <w:r>
        <w:rPr>
          <w:rFonts w:ascii="Calibri" w:hAnsi="Calibri"/>
          <w:b w:val="0"/>
          <w:i w:val="0"/>
          <w:color w:val="1A1A1A"/>
          <w:sz w:val="22"/>
        </w:rPr>
        <w:t xml:space="preserve"> of storage. Unlike Step 1, these are genuine physical costs for the platform.</w:t>
      </w:r>
    </w:p>
    <w:p>
      <w:pPr>
        <w:spacing w:after="60" w:line="269" w:lineRule="auto"/>
        <w:ind w:left="425" w:hanging="425"/>
      </w:pPr>
      <w:r>
        <w:rPr>
          <w:rFonts w:ascii="Calibri" w:hAnsi="Calibri"/>
          <w:b/>
          <w:color w:val="1F4E79"/>
          <w:sz w:val="22"/>
        </w:rPr>
        <w:t xml:space="preserve">3.  </w:t>
      </w:r>
      <w:r>
        <w:rPr>
          <w:rFonts w:ascii="Calibri" w:hAnsi="Calibri"/>
          <w:b/>
          <w:i w:val="0"/>
          <w:color w:val="1A1A1A"/>
          <w:sz w:val="22"/>
        </w:rPr>
        <w:t>Step 3 — Advertising.</w:t>
      </w:r>
      <w:r>
        <w:rPr>
          <w:rFonts w:ascii="Calibri" w:hAnsi="Calibri"/>
          <w:b w:val="0"/>
          <w:i w:val="0"/>
          <w:color w:val="1A1A1A"/>
          <w:sz w:val="22"/>
        </w:rPr>
        <w:t xml:space="preserve"> Assume sponsored placements at 12% of sales: 40 × 0.12 = </w:t>
      </w:r>
      <w:r>
        <w:rPr>
          <w:rFonts w:ascii="Calibri" w:hAnsi="Calibri"/>
          <w:b/>
          <w:i w:val="0"/>
          <w:color w:val="1A1A1A"/>
          <w:sz w:val="22"/>
        </w:rPr>
        <w:t>USD 4.80</w:t>
      </w:r>
      <w:r>
        <w:rPr>
          <w:rFonts w:ascii="Calibri" w:hAnsi="Calibri"/>
          <w:b w:val="0"/>
          <w:i w:val="0"/>
          <w:color w:val="1A1A1A"/>
          <w:sz w:val="22"/>
        </w:rPr>
        <w:t xml:space="preserve"> — formally optional, practically compulsory in a competitive category.</w:t>
      </w:r>
    </w:p>
    <w:p>
      <w:pPr>
        <w:spacing w:after="60" w:line="269" w:lineRule="auto"/>
        <w:ind w:left="425" w:hanging="425"/>
      </w:pPr>
      <w:r>
        <w:rPr>
          <w:rFonts w:ascii="Calibri" w:hAnsi="Calibri"/>
          <w:b/>
          <w:color w:val="1F4E79"/>
          <w:sz w:val="22"/>
        </w:rPr>
        <w:t xml:space="preserve">4.  </w:t>
      </w:r>
      <w:r>
        <w:rPr>
          <w:rFonts w:ascii="Calibri" w:hAnsi="Calibri"/>
          <w:b/>
          <w:i w:val="0"/>
          <w:color w:val="1A1A1A"/>
          <w:sz w:val="22"/>
        </w:rPr>
        <w:t>Step 4 — Returns provision.</w:t>
      </w:r>
      <w:r>
        <w:rPr>
          <w:rFonts w:ascii="Calibri" w:hAnsi="Calibri"/>
          <w:b w:val="0"/>
          <w:i w:val="0"/>
          <w:color w:val="1A1A1A"/>
          <w:sz w:val="22"/>
        </w:rPr>
        <w:t xml:space="preserve"> Assume 4% of price: 40 × 0.04 = </w:t>
      </w:r>
      <w:r>
        <w:rPr>
          <w:rFonts w:ascii="Calibri" w:hAnsi="Calibri"/>
          <w:b/>
          <w:i w:val="0"/>
          <w:color w:val="1A1A1A"/>
          <w:sz w:val="22"/>
        </w:rPr>
        <w:t>USD 1.60</w:t>
      </w:r>
      <w:r>
        <w:rPr>
          <w:rFonts w:ascii="Calibri" w:hAnsi="Calibri"/>
          <w:b w:val="0"/>
          <w:i w:val="0"/>
          <w:color w:val="1A1A1A"/>
          <w:sz w:val="22"/>
        </w:rPr>
        <w:t>.</w:t>
      </w:r>
    </w:p>
    <w:p>
      <w:pPr>
        <w:spacing w:after="60" w:line="269" w:lineRule="auto"/>
        <w:ind w:left="425" w:hanging="425"/>
      </w:pPr>
      <w:r>
        <w:rPr>
          <w:rFonts w:ascii="Calibri" w:hAnsi="Calibri"/>
          <w:b/>
          <w:color w:val="1F4E79"/>
          <w:sz w:val="22"/>
        </w:rPr>
        <w:t xml:space="preserve">5.  </w:t>
      </w:r>
      <w:r>
        <w:rPr>
          <w:rFonts w:ascii="Calibri" w:hAnsi="Calibri"/>
          <w:b/>
          <w:i w:val="0"/>
          <w:color w:val="1A1A1A"/>
          <w:sz w:val="22"/>
        </w:rPr>
        <w:t>Step 5 — All-in cost.</w:t>
      </w:r>
      <w:r>
        <w:rPr>
          <w:rFonts w:ascii="Calibri" w:hAnsi="Calibri"/>
          <w:b w:val="0"/>
          <w:i w:val="0"/>
          <w:color w:val="1A1A1A"/>
          <w:sz w:val="22"/>
        </w:rPr>
        <w:t xml:space="preserve"> 6.00 + 4.70 + 4.80 + 1.60 = </w:t>
      </w:r>
      <w:r>
        <w:rPr>
          <w:rFonts w:ascii="Calibri" w:hAnsi="Calibri"/>
          <w:b/>
          <w:i w:val="0"/>
          <w:color w:val="1A1A1A"/>
          <w:sz w:val="22"/>
        </w:rPr>
        <w:t>USD 17.10</w:t>
      </w:r>
      <w:r>
        <w:rPr>
          <w:rFonts w:ascii="Calibri" w:hAnsi="Calibri"/>
          <w:b w:val="0"/>
          <w:i w:val="0"/>
          <w:color w:val="1A1A1A"/>
          <w:sz w:val="22"/>
        </w:rPr>
        <w:t xml:space="preserve">, or </w:t>
      </w:r>
      <w:r>
        <w:rPr>
          <w:rFonts w:ascii="Calibri" w:hAnsi="Calibri"/>
          <w:b/>
          <w:i w:val="0"/>
          <w:color w:val="1A1A1A"/>
          <w:sz w:val="22"/>
        </w:rPr>
        <w:t>42.8% of the sale price</w:t>
      </w:r>
      <w:r>
        <w:rPr>
          <w:rFonts w:ascii="Calibri" w:hAnsi="Calibri"/>
          <w:b w:val="0"/>
          <w:i w:val="0"/>
          <w:color w:val="1A1A1A"/>
          <w:sz w:val="22"/>
        </w:rPr>
        <w:t xml:space="preserve"> — nearly three times the headline fee, and the practical meaning of Section 10.2.</w:t>
      </w:r>
    </w:p>
    <w:p>
      <w:pPr>
        <w:spacing w:after="60" w:line="269" w:lineRule="auto"/>
        <w:ind w:left="425" w:hanging="425"/>
      </w:pPr>
      <w:r>
        <w:rPr>
          <w:rFonts w:ascii="Calibri" w:hAnsi="Calibri"/>
          <w:b/>
          <w:color w:val="1F4E79"/>
          <w:sz w:val="22"/>
        </w:rPr>
        <w:t xml:space="preserve">6.  </w:t>
      </w:r>
      <w:r>
        <w:rPr>
          <w:rFonts w:ascii="Calibri" w:hAnsi="Calibri"/>
          <w:b/>
          <w:i w:val="0"/>
          <w:color w:val="1A1A1A"/>
          <w:sz w:val="22"/>
        </w:rPr>
        <w:t>Step 6 — What is left.</w:t>
      </w:r>
      <w:r>
        <w:rPr>
          <w:rFonts w:ascii="Calibri" w:hAnsi="Calibri"/>
          <w:b w:val="0"/>
          <w:i w:val="0"/>
          <w:color w:val="1A1A1A"/>
          <w:sz w:val="22"/>
        </w:rPr>
        <w:t xml:space="preserve"> With a cost of goods of USD 14.00: 40.00 − 14.00 − 17.10 = </w:t>
      </w:r>
      <w:r>
        <w:rPr>
          <w:rFonts w:ascii="Calibri" w:hAnsi="Calibri"/>
          <w:b/>
          <w:i w:val="0"/>
          <w:color w:val="1A1A1A"/>
          <w:sz w:val="22"/>
        </w:rPr>
        <w:t>USD 8.90</w:t>
      </w:r>
      <w:r>
        <w:rPr>
          <w:rFonts w:ascii="Calibri" w:hAnsi="Calibri"/>
          <w:b w:val="0"/>
          <w:i w:val="0"/>
          <w:color w:val="1A1A1A"/>
          <w:sz w:val="22"/>
        </w:rPr>
        <w:t xml:space="preserve">, or </w:t>
      </w:r>
      <w:r>
        <w:rPr>
          <w:rFonts w:ascii="Calibri" w:hAnsi="Calibri"/>
          <w:b/>
          <w:i w:val="0"/>
          <w:color w:val="1A1A1A"/>
          <w:sz w:val="22"/>
        </w:rPr>
        <w:t>22.3% of price</w:t>
      </w:r>
      <w:r>
        <w:rPr>
          <w:rFonts w:ascii="Calibri" w:hAnsi="Calibri"/>
          <w:b w:val="0"/>
          <w:i w:val="0"/>
          <w:color w:val="1A1A1A"/>
          <w:sz w:val="22"/>
        </w:rPr>
        <w:t>, before the seller's own overheads.</w:t>
      </w:r>
    </w:p>
    <w:p>
      <w:pPr>
        <w:spacing w:after="60" w:line="269" w:lineRule="auto"/>
        <w:ind w:left="425" w:hanging="425"/>
      </w:pPr>
      <w:r>
        <w:rPr>
          <w:rFonts w:ascii="Calibri" w:hAnsi="Calibri"/>
          <w:b/>
          <w:color w:val="1F4E79"/>
          <w:sz w:val="22"/>
        </w:rPr>
        <w:t xml:space="preserve">7.  </w:t>
      </w:r>
      <w:r>
        <w:rPr>
          <w:rFonts w:ascii="Calibri" w:hAnsi="Calibri"/>
          <w:b/>
          <w:i w:val="0"/>
          <w:color w:val="1A1A1A"/>
          <w:sz w:val="22"/>
        </w:rPr>
        <w:t>Step 7 — Sensitivity.</w:t>
      </w:r>
      <w:r>
        <w:rPr>
          <w:rFonts w:ascii="Calibri" w:hAnsi="Calibri"/>
          <w:b w:val="0"/>
          <w:i w:val="0"/>
          <w:color w:val="1A1A1A"/>
          <w:sz w:val="22"/>
        </w:rPr>
        <w:t xml:space="preserve"> Remove the advertising and the all-in cost falls to USD 12.30, or 30.8%; profit rises from 8.90 to </w:t>
      </w:r>
      <w:r>
        <w:rPr>
          <w:rFonts w:ascii="Calibri" w:hAnsi="Calibri"/>
          <w:b/>
          <w:i w:val="0"/>
          <w:color w:val="1A1A1A"/>
          <w:sz w:val="22"/>
        </w:rPr>
        <w:t>USD 13.70</w:t>
      </w:r>
      <w:r>
        <w:rPr>
          <w:rFonts w:ascii="Calibri" w:hAnsi="Calibri"/>
          <w:b w:val="0"/>
          <w:i w:val="0"/>
          <w:color w:val="1A1A1A"/>
          <w:sz w:val="22"/>
        </w:rPr>
        <w:t xml:space="preserve">, up </w:t>
      </w:r>
      <w:r>
        <w:rPr>
          <w:rFonts w:ascii="Calibri" w:hAnsi="Calibri"/>
          <w:b/>
          <w:i w:val="0"/>
          <w:color w:val="1A1A1A"/>
          <w:sz w:val="22"/>
        </w:rPr>
        <w:t>54% with no change in price, product or volume</w:t>
      </w:r>
      <w:r>
        <w:rPr>
          <w:rFonts w:ascii="Calibri" w:hAnsi="Calibri"/>
          <w:b w:val="0"/>
          <w:i w:val="0"/>
          <w:color w:val="1A1A1A"/>
          <w:sz w:val="22"/>
        </w:rPr>
        <w:t xml:space="preserve"> — which is why the fight over organic ranking is the central economic fact of a marketplace seller's life.</w:t>
      </w:r>
    </w:p>
    <w:p>
      <w:pPr>
        <w:spacing w:before="0" w:after="100" w:line="274" w:lineRule="auto"/>
      </w:pPr>
      <w:r>
        <w:rPr>
          <w:rFonts w:ascii="Calibri" w:hAnsi="Calibri"/>
          <w:b w:val="0"/>
          <w:i w:val="0"/>
          <w:color w:val="1A1A1A"/>
          <w:sz w:val="22"/>
        </w:rPr>
        <w:t xml:space="preserve">Now invert the numbers, because the </w:t>
      </w:r>
      <w:r>
        <w:rPr>
          <w:rFonts w:ascii="Calibri" w:hAnsi="Calibri"/>
          <w:b w:val="0"/>
          <w:i/>
          <w:color w:val="1A1A1A"/>
          <w:sz w:val="22"/>
        </w:rPr>
        <w:t>composition</w:t>
      </w:r>
      <w:r>
        <w:rPr>
          <w:rFonts w:ascii="Calibri" w:hAnsi="Calibri"/>
          <w:b w:val="0"/>
          <w:i w:val="0"/>
          <w:color w:val="1A1A1A"/>
          <w:sz w:val="22"/>
        </w:rPr>
        <w:t xml:space="preserve"> of the USD 17.10 matters more than its size. Referral fee and advertising are USD 10.80 and carry almost no marginal cost; fulfilment and storage are USD 4.70 of real physical expense. </w:t>
      </w:r>
      <w:r>
        <w:rPr>
          <w:rFonts w:ascii="Calibri" w:hAnsi="Calibri"/>
          <w:b/>
          <w:i w:val="0"/>
          <w:color w:val="1A1A1A"/>
          <w:sz w:val="22"/>
        </w:rPr>
        <w:t>A platform's take is a mixture of near-pure margin and genuine cost, and the direction of any mature marketplace is to grow the first faster than the second.</w:t>
      </w:r>
      <w:r>
        <w:rPr>
          <w:rFonts w:ascii="Calibri" w:hAnsi="Calibri"/>
          <w:b w:val="0"/>
          <w:i w:val="0"/>
          <w:color w:val="1A1A1A"/>
          <w:sz w:val="22"/>
        </w:rPr>
        <w:t xml:space="preserve"> The reported data confirm the direction precisely: between FY2024 and FY2025 seller services grew 10% while advertising grew 22%. Hence advertising, not retail, is the prize: on a first-party order of the same USD 40 at a 25% gross margin, operating profit is about USD 2.00, while one sponsored slot at USD 1.20 of near-zero-cost revenue lifts it by </w:t>
      </w:r>
      <w:r>
        <w:rPr>
          <w:rFonts w:ascii="Calibri" w:hAnsi="Calibri"/>
          <w:b/>
          <w:i w:val="0"/>
          <w:color w:val="1A1A1A"/>
          <w:sz w:val="22"/>
        </w:rPr>
        <w:t>60% without a single additional unit sold</w:t>
      </w:r>
      <w:r>
        <w:rPr>
          <w:rFonts w:ascii="Calibri" w:hAnsi="Calibri"/>
          <w:b w:val="0"/>
          <w:i w:val="0"/>
          <w:color w:val="1A1A1A"/>
          <w:sz w:val="22"/>
        </w:rPr>
        <w:t xml:space="preserve"> (both figures being teaching assumptions, unlike Tables CS.4 and CS.5).</w:t>
      </w:r>
    </w:p>
    <w:p>
      <w:pPr>
        <w:spacing w:before="0" w:after="100" w:line="274" w:lineRule="auto"/>
      </w:pPr>
      <w:r>
        <w:rPr>
          <w:rFonts w:ascii="Calibri" w:hAnsi="Calibri"/>
          <w:b w:val="0"/>
          <w:i w:val="0"/>
          <w:color w:val="1A1A1A"/>
          <w:sz w:val="22"/>
        </w:rPr>
        <w:t xml:space="preserve">Two consequences follow, and the second is uncomfortable. If a page yields more from selling access to itself than from selling goods, keeping prices low becomes </w:t>
      </w:r>
      <w:r>
        <w:rPr>
          <w:rFonts w:ascii="Calibri" w:hAnsi="Calibri"/>
          <w:b/>
          <w:i w:val="0"/>
          <w:color w:val="1A1A1A"/>
          <w:sz w:val="22"/>
        </w:rPr>
        <w:t>an investment in the traffic the advertising business monetises</w:t>
      </w:r>
      <w:r>
        <w:rPr>
          <w:rFonts w:ascii="Calibri" w:hAnsi="Calibri"/>
          <w:b w:val="0"/>
          <w:i w:val="0"/>
          <w:color w:val="1A1A1A"/>
          <w:sz w:val="22"/>
        </w:rPr>
        <w:t xml:space="preserve">. But every sponsored slot displaces an organic result chosen for fit rather than payment, so past some threshold </w:t>
      </w:r>
      <w:r>
        <w:rPr>
          <w:rFonts w:ascii="Calibri" w:hAnsi="Calibri"/>
          <w:b/>
          <w:i w:val="0"/>
          <w:color w:val="1A1A1A"/>
          <w:sz w:val="22"/>
        </w:rPr>
        <w:t>the revenue stream with the best margin is the one that erodes the asset producing it.</w:t>
      </w:r>
    </w:p>
    <w:p>
      <w:pPr>
        <w:keepNext/>
        <w:spacing w:before="160" w:after="60"/>
      </w:pPr>
      <w:r>
        <w:rPr>
          <w:rFonts w:ascii="Cambria" w:hAnsi="Cambria"/>
          <w:b/>
          <w:color w:val="1F4E79"/>
          <w:sz w:val="23"/>
        </w:rPr>
        <w:t>4.2. The second calculation: what the machine now costs to keep building</w:t>
      </w:r>
    </w:p>
    <w:p>
      <w:pPr>
        <w:spacing w:before="0" w:after="100" w:line="274" w:lineRule="auto"/>
      </w:pPr>
      <w:r>
        <w:rPr>
          <w:rFonts w:ascii="Calibri" w:hAnsi="Calibri"/>
          <w:b w:val="0"/>
          <w:i w:val="0"/>
          <w:color w:val="1A1A1A"/>
          <w:sz w:val="22"/>
        </w:rPr>
        <w:t xml:space="preserve">The 2025 accounts contain a second story the segment tables conceal. Operating income rose 17% to USD 80.0 billion; over the same year purchases of property and equipment rose from USD 83.0 billion to </w:t>
      </w:r>
      <w:r>
        <w:rPr>
          <w:rFonts w:ascii="Calibri" w:hAnsi="Calibri"/>
          <w:b/>
          <w:i w:val="0"/>
          <w:color w:val="1A1A1A"/>
          <w:sz w:val="22"/>
        </w:rPr>
        <w:t>USD 131.8 billion</w:t>
      </w:r>
      <w:r>
        <w:rPr>
          <w:rFonts w:ascii="Calibri" w:hAnsi="Calibri"/>
          <w:b w:val="0"/>
          <w:i w:val="0"/>
          <w:color w:val="1A1A1A"/>
          <w:sz w:val="22"/>
        </w:rPr>
        <w:t xml:space="preserve">, so </w:t>
      </w:r>
      <w:r>
        <w:rPr>
          <w:rFonts w:ascii="Calibri" w:hAnsi="Calibri"/>
          <w:b/>
          <w:i w:val="0"/>
          <w:color w:val="1A1A1A"/>
          <w:sz w:val="22"/>
        </w:rPr>
        <w:t>free cash flow fell from USD 38.2 billion to USD 11.2 billion</w:t>
      </w:r>
      <w:r>
        <w:rPr>
          <w:rFonts w:ascii="Calibri" w:hAnsi="Calibri"/>
          <w:b w:val="0"/>
          <w:i w:val="0"/>
          <w:color w:val="1A1A1A"/>
          <w:sz w:val="22"/>
        </w:rPr>
        <w:t xml:space="preserve">. In the twelve months to 30 June 2026 it was an </w:t>
      </w:r>
      <w:r>
        <w:rPr>
          <w:rFonts w:ascii="Calibri" w:hAnsi="Calibri"/>
          <w:b/>
          <w:i w:val="0"/>
          <w:color w:val="1A1A1A"/>
          <w:sz w:val="22"/>
        </w:rPr>
        <w:t>outflow of USD 7.6 billion</w:t>
      </w:r>
      <w:r>
        <w:rPr>
          <w:rFonts w:ascii="Calibri" w:hAnsi="Calibri"/>
          <w:b w:val="0"/>
          <w:i w:val="0"/>
          <w:color w:val="1A1A1A"/>
          <w:sz w:val="22"/>
        </w:rPr>
        <w:t xml:space="preserve"> on capital expenditure of USD 169.0 billion, long-term debt roughly doubled to USD 128.9 billion in six months, and management guided to about </w:t>
      </w:r>
      <w:r>
        <w:rPr>
          <w:rFonts w:ascii="Calibri" w:hAnsi="Calibri"/>
          <w:b/>
          <w:i w:val="0"/>
          <w:color w:val="1A1A1A"/>
          <w:sz w:val="22"/>
        </w:rPr>
        <w:t>USD 200 billion of capital expenditure in 2026</w:t>
      </w:r>
      <w:r>
        <w:rPr>
          <w:rFonts w:ascii="Calibri" w:hAnsi="Calibri"/>
          <w:b w:val="0"/>
          <w:i w:val="0"/>
          <w:color w:val="1A1A1A"/>
          <w:sz w:val="22"/>
        </w:rPr>
        <w:t>.</w:t>
      </w:r>
    </w:p>
    <w:p>
      <w:pPr>
        <w:spacing w:before="0" w:after="100" w:line="274" w:lineRule="auto"/>
      </w:pPr>
      <w:r>
        <w:rPr>
          <w:rFonts w:ascii="Calibri" w:hAnsi="Calibri"/>
          <w:b w:val="0"/>
          <w:i w:val="0"/>
          <w:color w:val="1A1A1A"/>
          <w:sz w:val="22"/>
        </w:rPr>
        <w:t xml:space="preserve">Read that against Section 2 and the pipeline argument becomes a financing argument: the high-margin businesses now consume more capital than the whole group generates, because AI infrastructure is being built ahead of the revenue it will carry. AWS grew 37% in Q2 2026 and its AI business passed a USD 25 billion run rate, which is the bull case; the bear case is that a firm which once justified thin retail margins by pointing at cash flow no longer has the cash flow to point at. </w:t>
      </w:r>
      <w:r>
        <w:rPr>
          <w:rFonts w:ascii="Calibri" w:hAnsi="Calibri"/>
          <w:b/>
          <w:i w:val="0"/>
          <w:color w:val="1A1A1A"/>
          <w:sz w:val="22"/>
        </w:rPr>
        <w:t>The governance answer of 1999 — judge us on cash, not accounting profit — is no longer available in the same form: the argument for patience is now being made on the strength of a growth rate rather than a cash return.</w:t>
      </w:r>
    </w:p>
    <w:p>
      <w:pPr>
        <w:keepNext/>
        <w:spacing w:before="180" w:after="60"/>
      </w:pPr>
      <w:r>
        <w:rPr>
          <w:rFonts w:ascii="Cambria" w:hAnsi="Cambria"/>
          <w:b/>
          <w:color w:val="6D3B8E"/>
          <w:sz w:val="25"/>
        </w:rPr>
        <w:t>5. Why rivals struggle to copy it — and what the advantage does not cover</w:t>
      </w:r>
    </w:p>
    <w:p>
      <w:pPr>
        <w:spacing w:before="0" w:after="100" w:line="274" w:lineRule="auto"/>
      </w:pPr>
      <w:r>
        <w:rPr>
          <w:rFonts w:ascii="Calibri" w:hAnsi="Calibri"/>
          <w:b w:val="0"/>
          <w:i w:val="0"/>
          <w:color w:val="1A1A1A"/>
          <w:sz w:val="22"/>
        </w:rPr>
        <w:t xml:space="preserve">A business wanting to reproduce this model must overcome three barriers at the same time, and it is the </w:t>
      </w:r>
      <w:r>
        <w:rPr>
          <w:rFonts w:ascii="Calibri" w:hAnsi="Calibri"/>
          <w:b/>
          <w:i w:val="0"/>
          <w:color w:val="1A1A1A"/>
          <w:sz w:val="22"/>
        </w:rPr>
        <w:t>simultaneity</w:t>
      </w:r>
      <w:r>
        <w:rPr>
          <w:rFonts w:ascii="Calibri" w:hAnsi="Calibri"/>
          <w:b w:val="0"/>
          <w:i w:val="0"/>
          <w:color w:val="1A1A1A"/>
          <w:sz w:val="22"/>
        </w:rPr>
        <w:t xml:space="preserve"> that is difficult: any one is surmountable, but all three together, for a decade, have proved not to be.</w:t>
      </w:r>
    </w:p>
    <w:p>
      <w:pPr>
        <w:spacing w:after="60" w:line="269" w:lineRule="auto"/>
        <w:ind w:left="425" w:hanging="425"/>
      </w:pPr>
      <w:r>
        <w:rPr>
          <w:rFonts w:ascii="Calibri" w:hAnsi="Calibri"/>
          <w:b/>
          <w:color w:val="1F4E79"/>
          <w:sz w:val="22"/>
        </w:rPr>
        <w:t xml:space="preserve">1.  </w:t>
      </w:r>
      <w:r>
        <w:rPr>
          <w:rFonts w:ascii="Calibri" w:hAnsi="Calibri"/>
          <w:b/>
          <w:i w:val="0"/>
          <w:color w:val="1A1A1A"/>
          <w:sz w:val="22"/>
        </w:rPr>
        <w:t>Capital barrier:</w:t>
      </w:r>
      <w:r>
        <w:rPr>
          <w:rFonts w:ascii="Calibri" w:hAnsi="Calibri"/>
          <w:b w:val="0"/>
          <w:i w:val="0"/>
          <w:color w:val="1A1A1A"/>
          <w:sz w:val="22"/>
        </w:rPr>
        <w:t xml:space="preserve"> a logistics network demands heavy investment and pays only at sufficient order density — a chicken-and-egg problem, since density cannot be bought, only accumulated. The barrier is rising: a rival matching Amazon's FY2025 capital expenditure of USD 131.8 billion would be spending more than the entire annual revenue of all but a handful of the world's retailers.</w:t>
      </w:r>
    </w:p>
    <w:p>
      <w:pPr>
        <w:spacing w:after="60" w:line="269" w:lineRule="auto"/>
        <w:ind w:left="425" w:hanging="425"/>
      </w:pPr>
      <w:r>
        <w:rPr>
          <w:rFonts w:ascii="Calibri" w:hAnsi="Calibri"/>
          <w:b/>
          <w:color w:val="1F4E79"/>
          <w:sz w:val="22"/>
        </w:rPr>
        <w:t xml:space="preserve">2.  </w:t>
      </w:r>
      <w:r>
        <w:rPr>
          <w:rFonts w:ascii="Calibri" w:hAnsi="Calibri"/>
          <w:b/>
          <w:i w:val="0"/>
          <w:color w:val="1A1A1A"/>
          <w:sz w:val="22"/>
        </w:rPr>
        <w:t>Time barrier:</w:t>
      </w:r>
      <w:r>
        <w:rPr>
          <w:rFonts w:ascii="Calibri" w:hAnsi="Calibri"/>
          <w:b w:val="0"/>
          <w:i w:val="0"/>
          <w:color w:val="1A1A1A"/>
          <w:sz w:val="22"/>
        </w:rPr>
        <w:t xml:space="preserve"> shopping behaviour data accumulated over many years cannot be bought, and it is the precondition for recommendation and demand-forecasting systems to work accurately.</w:t>
      </w:r>
    </w:p>
    <w:p>
      <w:pPr>
        <w:spacing w:after="60" w:line="269" w:lineRule="auto"/>
        <w:ind w:left="425" w:hanging="425"/>
      </w:pPr>
      <w:r>
        <w:rPr>
          <w:rFonts w:ascii="Calibri" w:hAnsi="Calibri"/>
          <w:b/>
          <w:color w:val="1F4E79"/>
          <w:sz w:val="22"/>
        </w:rPr>
        <w:t xml:space="preserve">3.  </w:t>
      </w:r>
      <w:r>
        <w:rPr>
          <w:rFonts w:ascii="Calibri" w:hAnsi="Calibri"/>
          <w:b/>
          <w:i w:val="0"/>
          <w:color w:val="1A1A1A"/>
          <w:sz w:val="22"/>
        </w:rPr>
        <w:t>Organisational barrier:</w:t>
      </w:r>
      <w:r>
        <w:rPr>
          <w:rFonts w:ascii="Calibri" w:hAnsi="Calibri"/>
          <w:b w:val="0"/>
          <w:i w:val="0"/>
          <w:color w:val="1A1A1A"/>
          <w:sz w:val="22"/>
        </w:rPr>
        <w:t xml:space="preserve"> accepting a thin margin in the largest segment over a long period is a decision most listed companies cannot withstand the pressure to pursue. A rival with quarterly guidance and margin-linked bonuses is structurally incapable of it — North America ran at a 6.9% operating margin and International at 2.9% in FY2025, and those are the </w:t>
      </w:r>
      <w:r>
        <w:rPr>
          <w:rFonts w:ascii="Calibri" w:hAnsi="Calibri"/>
          <w:b w:val="0"/>
          <w:i/>
          <w:color w:val="1A1A1A"/>
          <w:sz w:val="22"/>
        </w:rPr>
        <w:t>good</w:t>
      </w:r>
      <w:r>
        <w:rPr>
          <w:rFonts w:ascii="Calibri" w:hAnsi="Calibri"/>
          <w:b w:val="0"/>
          <w:i w:val="0"/>
          <w:color w:val="1A1A1A"/>
          <w:sz w:val="22"/>
        </w:rPr>
        <w:t xml:space="preserve"> years.</w:t>
      </w:r>
    </w:p>
    <w:p>
      <w:pPr>
        <w:spacing w:before="0" w:after="100" w:line="274" w:lineRule="auto"/>
      </w:pPr>
      <w:r>
        <w:rPr>
          <w:rFonts w:ascii="Calibri" w:hAnsi="Calibri"/>
          <w:b w:val="0"/>
          <w:i w:val="0"/>
          <w:color w:val="1A1A1A"/>
          <w:sz w:val="22"/>
        </w:rPr>
        <w:t xml:space="preserve">A fourth barrier explains why the first three compound: </w:t>
      </w:r>
      <w:r>
        <w:rPr>
          <w:rFonts w:ascii="Calibri" w:hAnsi="Calibri"/>
          <w:b/>
          <w:i w:val="0"/>
          <w:color w:val="1A1A1A"/>
          <w:sz w:val="22"/>
        </w:rPr>
        <w:t>a competitor must win four different games at once with one balance sheet</w:t>
      </w:r>
      <w:r>
        <w:rPr>
          <w:rFonts w:ascii="Calibri" w:hAnsi="Calibri"/>
          <w:b w:val="0"/>
          <w:i w:val="0"/>
          <w:color w:val="1A1A1A"/>
          <w:sz w:val="22"/>
        </w:rPr>
        <w:t xml:space="preserve"> — retail at a lower margin than its shareholders tolerate, a marketplace with enough sellers to matter, logistics at national density, and an infrastructure business profitable enough to fund the other three. Attacking the combination means losing money in three businesses while a fourth pays for it, which is a governance problem long before it is a competitive one. Strip out AWS and Amazon's own remaining 82% of revenue earns an operating margin of about </w:t>
      </w:r>
      <w:r>
        <w:rPr>
          <w:rFonts w:ascii="Calibri" w:hAnsi="Calibri"/>
          <w:b/>
          <w:i w:val="0"/>
          <w:color w:val="1A1A1A"/>
          <w:sz w:val="22"/>
        </w:rPr>
        <w:t>5.8%</w:t>
      </w:r>
      <w:r>
        <w:rPr>
          <w:rFonts w:ascii="Calibri" w:hAnsi="Calibri"/>
          <w:b w:val="0"/>
          <w:i w:val="0"/>
          <w:color w:val="1A1A1A"/>
          <w:sz w:val="22"/>
        </w:rPr>
        <w:t>.</w:t>
      </w:r>
    </w:p>
    <w:p>
      <w:pPr>
        <w:spacing w:before="0" w:after="100" w:line="274" w:lineRule="auto"/>
      </w:pPr>
      <w:r>
        <w:rPr>
          <w:rFonts w:ascii="Calibri" w:hAnsi="Calibri"/>
          <w:b w:val="0"/>
          <w:i w:val="0"/>
          <w:color w:val="1A1A1A"/>
          <w:sz w:val="22"/>
        </w:rPr>
        <w:t xml:space="preserve">It matters equally to say what the advantage does </w:t>
      </w:r>
      <w:r>
        <w:rPr>
          <w:rFonts w:ascii="Calibri" w:hAnsi="Calibri"/>
          <w:b/>
          <w:i w:val="0"/>
          <w:color w:val="1A1A1A"/>
          <w:sz w:val="22"/>
        </w:rPr>
        <w:t>not</w:t>
      </w:r>
      <w:r>
        <w:rPr>
          <w:rFonts w:ascii="Calibri" w:hAnsi="Calibri"/>
          <w:b w:val="0"/>
          <w:i w:val="0"/>
          <w:color w:val="1A1A1A"/>
          <w:sz w:val="22"/>
        </w:rPr>
        <w:t xml:space="preserve"> cover. The moat is category-specific: it protects goods that are standardised, easy to describe, verifiable on arrival and bought on convenience. Where those conditions fail, so does the advantage — the Fire Phone written off within a year of its 2014 launch, the domestic Chinese marketplace closed in 2019, restaurant delivery shut the same year, cashierless stores scaled back, and a persistently weak position in apparel, luxury and fresh food. The Q4 2025 accounts carry the receipt: </w:t>
      </w:r>
      <w:r>
        <w:rPr>
          <w:rFonts w:ascii="Calibri" w:hAnsi="Calibri"/>
          <w:b/>
          <w:i w:val="0"/>
          <w:color w:val="1A1A1A"/>
          <w:sz w:val="22"/>
        </w:rPr>
        <w:t>USD 610 million of asset impairments, primarily related to physical stores</w:t>
      </w:r>
      <w:r>
        <w:rPr>
          <w:rFonts w:ascii="Calibri" w:hAnsi="Calibri"/>
          <w:b w:val="0"/>
          <w:i w:val="0"/>
          <w:color w:val="1A1A1A"/>
          <w:sz w:val="22"/>
        </w:rPr>
        <w:t xml:space="preserve">. </w:t>
      </w:r>
      <w:r>
        <w:rPr>
          <w:rFonts w:ascii="Calibri" w:hAnsi="Calibri"/>
          <w:b/>
          <w:i w:val="0"/>
          <w:color w:val="1A1A1A"/>
          <w:sz w:val="22"/>
        </w:rPr>
        <w:t>Amazon wins where the decisive variable is convenience and loses where the decisive variable is judgment.</w:t>
      </w:r>
    </w:p>
    <w:p>
      <w:pPr>
        <w:spacing w:before="0" w:after="100" w:line="274" w:lineRule="auto"/>
      </w:pPr>
      <w:r>
        <w:rPr>
          <w:rFonts w:ascii="Calibri" w:hAnsi="Calibri"/>
          <w:b w:val="0"/>
          <w:i w:val="0"/>
          <w:color w:val="1A1A1A"/>
          <w:sz w:val="22"/>
        </w:rPr>
        <w:t xml:space="preserve">How long the remaining advantage lasts turns on three conditions, only one of which the firm controls: </w:t>
      </w:r>
      <w:r>
        <w:rPr>
          <w:rFonts w:ascii="Calibri" w:hAnsi="Calibri"/>
          <w:b/>
          <w:i w:val="0"/>
          <w:color w:val="1A1A1A"/>
          <w:sz w:val="22"/>
        </w:rPr>
        <w:t>speed must remain the variable customers care about</w:t>
      </w:r>
      <w:r>
        <w:rPr>
          <w:rFonts w:ascii="Calibri" w:hAnsi="Calibri"/>
          <w:b w:val="0"/>
          <w:i w:val="0"/>
          <w:color w:val="1A1A1A"/>
          <w:sz w:val="22"/>
        </w:rPr>
        <w:t xml:space="preserve">; </w:t>
      </w:r>
      <w:r>
        <w:rPr>
          <w:rFonts w:ascii="Calibri" w:hAnsi="Calibri"/>
          <w:b/>
          <w:i w:val="0"/>
          <w:color w:val="1A1A1A"/>
          <w:sz w:val="22"/>
        </w:rPr>
        <w:t>the regulatory settlement must hold</w:t>
      </w:r>
      <w:r>
        <w:rPr>
          <w:rFonts w:ascii="Calibri" w:hAnsi="Calibri"/>
          <w:b w:val="0"/>
          <w:i w:val="0"/>
          <w:color w:val="1A1A1A"/>
          <w:sz w:val="22"/>
        </w:rPr>
        <w:t xml:space="preserve">, since a structural remedy separating marketplace from retail would break the pipeline of Section 2 at a stroke; and </w:t>
      </w:r>
      <w:r>
        <w:rPr>
          <w:rFonts w:ascii="Calibri" w:hAnsi="Calibri"/>
          <w:b/>
          <w:i w:val="0"/>
          <w:color w:val="1A1A1A"/>
          <w:sz w:val="22"/>
        </w:rPr>
        <w:t>the interface must remain the point of contact</w:t>
      </w:r>
      <w:r>
        <w:rPr>
          <w:rFonts w:ascii="Calibri" w:hAnsi="Calibri"/>
          <w:b w:val="0"/>
          <w:i w:val="0"/>
          <w:color w:val="1A1A1A"/>
          <w:sz w:val="22"/>
        </w:rPr>
        <w:t xml:space="preserve">, because if buying moves to autonomous agents the habit advantage evaporates even though the logistics advantage does not. On the third condition Amazon has chosen to move first rather than defend: Rufus reached more than 300 million customers in 2025, credited with nearly USD 12 billion of incremental annualised sales, and in 2026 merged with Alexa+ into </w:t>
      </w:r>
      <w:r>
        <w:rPr>
          <w:rFonts w:ascii="Calibri" w:hAnsi="Calibri"/>
          <w:b/>
          <w:i w:val="0"/>
          <w:color w:val="1A1A1A"/>
          <w:sz w:val="22"/>
        </w:rPr>
        <w:t>Alexa for Shopping</w:t>
      </w:r>
      <w:r>
        <w:rPr>
          <w:rFonts w:ascii="Calibri" w:hAnsi="Calibri"/>
          <w:b w:val="0"/>
          <w:i w:val="0"/>
          <w:color w:val="1A1A1A"/>
          <w:sz w:val="22"/>
        </w:rPr>
        <w:t>, which buys on the customer's behalf. Cannibalising your own interface before someone else does is coherent — but it also trains customers to stop looking at the page that advertising is sold on.</w:t>
      </w:r>
    </w:p>
    <w:p>
      <w:pPr>
        <w:keepNext/>
        <w:spacing w:before="180" w:after="60"/>
      </w:pPr>
      <w:r>
        <w:rPr>
          <w:rFonts w:ascii="Cambria" w:hAnsi="Cambria"/>
          <w:b/>
          <w:color w:val="6D3B8E"/>
          <w:sz w:val="25"/>
        </w:rPr>
        <w:t>6. Downsides, risks and the limits of the model</w:t>
      </w:r>
    </w:p>
    <w:p>
      <w:pPr>
        <w:spacing w:before="0" w:after="100" w:line="274" w:lineRule="auto"/>
      </w:pPr>
      <w:r>
        <w:rPr>
          <w:rFonts w:ascii="Calibri" w:hAnsi="Calibri"/>
          <w:b w:val="0"/>
          <w:i w:val="0"/>
          <w:color w:val="1A1A1A"/>
          <w:sz w:val="22"/>
        </w:rPr>
        <w:t>Three kinds of cost and risk sit at the centre of the model, each a consequence of a strength described earlier rather than an accident of execution.</w:t>
      </w:r>
    </w:p>
    <w:p>
      <w:pPr>
        <w:spacing w:before="0" w:after="100" w:line="274" w:lineRule="auto"/>
      </w:pPr>
      <w:r>
        <w:rPr>
          <w:rFonts w:ascii="Calibri" w:hAnsi="Calibri"/>
          <w:b/>
          <w:i w:val="0"/>
          <w:color w:val="1A1A1A"/>
          <w:sz w:val="22"/>
        </w:rPr>
        <w:t>First, quality control at scale.</w:t>
      </w:r>
      <w:r>
        <w:rPr>
          <w:rFonts w:ascii="Calibri" w:hAnsi="Calibri"/>
          <w:b w:val="0"/>
          <w:i w:val="0"/>
          <w:color w:val="1A1A1A"/>
          <w:sz w:val="22"/>
        </w:rPr>
        <w:t xml:space="preserve"> When the number of sellers becomes very large, counterfeits, unsafe products and fabricated reviews follow, and the network effect that created the growth runs in reverse: more sellers stop meaning more choice and start meaning more risk. Moderation is not an ancillary cost but the cost of protecting the asset itself.</w:t>
      </w:r>
    </w:p>
    <w:p>
      <w:pPr>
        <w:spacing w:before="0" w:after="100" w:line="274" w:lineRule="auto"/>
      </w:pPr>
      <w:r>
        <w:rPr>
          <w:rFonts w:ascii="Calibri" w:hAnsi="Calibri"/>
          <w:b/>
          <w:i w:val="0"/>
          <w:color w:val="1A1A1A"/>
          <w:sz w:val="22"/>
        </w:rPr>
        <w:t>Second, competition-law risk when the platform is both referee and player on the same field.</w:t>
      </w:r>
      <w:r>
        <w:rPr>
          <w:rFonts w:ascii="Calibri" w:hAnsi="Calibri"/>
          <w:b w:val="0"/>
          <w:i w:val="0"/>
          <w:color w:val="1A1A1A"/>
          <w:sz w:val="22"/>
        </w:rPr>
        <w:t xml:space="preserve"> Amazon competes with the sellers whose visibility it decides, using data generated by their sales, on a page where it also sells advertising. The live position as at August 2026 is this. In Europe the Commission accepted binding commitments in December 2022 — no use of non-public seller data for its own retail decisions, non-discriminatory Buy Box criteria, a second offer displayed where a materially different one exists, and Prime access for independent carriers — and Amazon has been a designated gatekeeper under the Digital Markets Act since September 2023; in June 2026 the Commission issued a preliminary finding that </w:t>
      </w:r>
      <w:r>
        <w:rPr>
          <w:rFonts w:ascii="Calibri" w:hAnsi="Calibri"/>
          <w:b/>
          <w:i w:val="0"/>
          <w:color w:val="1A1A1A"/>
          <w:sz w:val="22"/>
        </w:rPr>
        <w:t>AWS should itself be designated a gatekeeper for cloud computing</w:t>
      </w:r>
      <w:r>
        <w:rPr>
          <w:rFonts w:ascii="Calibri" w:hAnsi="Calibri"/>
          <w:b w:val="0"/>
          <w:i w:val="0"/>
          <w:color w:val="1A1A1A"/>
          <w:sz w:val="22"/>
        </w:rPr>
        <w:t xml:space="preserve">, with the investigation due to conclude by November 2026. In the United States the monopolisation action brought in September 2023 by the Federal Trade Commission, eighteen state attorneys general and Puerto Rico is set for </w:t>
      </w:r>
      <w:r>
        <w:rPr>
          <w:rFonts w:ascii="Calibri" w:hAnsi="Calibri"/>
          <w:b/>
          <w:i w:val="0"/>
          <w:color w:val="1A1A1A"/>
          <w:sz w:val="22"/>
        </w:rPr>
        <w:t>trial on 29 March 2027</w:t>
      </w:r>
      <w:r>
        <w:rPr>
          <w:rFonts w:ascii="Calibri" w:hAnsi="Calibri"/>
          <w:b w:val="0"/>
          <w:i w:val="0"/>
          <w:color w:val="1A1A1A"/>
          <w:sz w:val="22"/>
        </w:rPr>
        <w:t xml:space="preserve">. Regulators act on </w:t>
      </w:r>
      <w:r>
        <w:rPr>
          <w:rFonts w:ascii="Calibri" w:hAnsi="Calibri"/>
          <w:b w:val="0"/>
          <w:i/>
          <w:color w:val="1A1A1A"/>
          <w:sz w:val="22"/>
        </w:rPr>
        <w:t>structure</w:t>
      </w:r>
      <w:r>
        <w:rPr>
          <w:rFonts w:ascii="Calibri" w:hAnsi="Calibri"/>
          <w:b w:val="0"/>
          <w:i w:val="0"/>
          <w:color w:val="1A1A1A"/>
          <w:sz w:val="22"/>
        </w:rPr>
        <w:t>, not intent: a firm facing a possible structural remedy in retail and a gatekeeper designation in cloud is exposed at both ends of its own pipeline.</w:t>
      </w:r>
    </w:p>
    <w:p>
      <w:pPr>
        <w:spacing w:before="0" w:after="100" w:line="274" w:lineRule="auto"/>
      </w:pPr>
      <w:r>
        <w:rPr>
          <w:rFonts w:ascii="Calibri" w:hAnsi="Calibri"/>
          <w:b/>
          <w:i w:val="0"/>
          <w:color w:val="1A1A1A"/>
          <w:sz w:val="22"/>
        </w:rPr>
        <w:t>Third, reverse dependency.</w:t>
      </w:r>
      <w:r>
        <w:rPr>
          <w:rFonts w:ascii="Calibri" w:hAnsi="Calibri"/>
          <w:b w:val="0"/>
          <w:i w:val="0"/>
          <w:color w:val="1A1A1A"/>
          <w:sz w:val="22"/>
        </w:rPr>
        <w:t xml:space="preserve"> When profit is concentrated in one segment — AWS contributing 57% of group operating income from 18% of revenue in FY2025 — fluctuations there affect the whole capacity to invest. This is no longer hypothetical: the AI build-out is funded from AWS margin and from debt, free cash flow has gone from USD 38.2 billion in FY2024 to an outflow of USD 7.6 billion in the year to June 2026, and long-term debt roughly doubled in six months. A contraction in cloud demand would transmit directly into retail pricing and into what the marketplace must charge sellers — the two levers that do not require anyone's permission to pull.</w:t>
      </w:r>
    </w:p>
    <w:p>
      <w:pPr>
        <w:spacing w:before="0" w:after="100" w:line="274" w:lineRule="auto"/>
      </w:pPr>
      <w:r>
        <w:rPr>
          <w:rFonts w:ascii="Calibri" w:hAnsi="Calibri"/>
          <w:b w:val="0"/>
          <w:i w:val="0"/>
          <w:color w:val="1A1A1A"/>
          <w:sz w:val="22"/>
        </w:rPr>
        <w:t xml:space="preserve">Three further risks are material. </w:t>
      </w:r>
      <w:r>
        <w:rPr>
          <w:rFonts w:ascii="Calibri" w:hAnsi="Calibri"/>
          <w:b/>
          <w:i w:val="0"/>
          <w:color w:val="1A1A1A"/>
          <w:sz w:val="22"/>
        </w:rPr>
        <w:t>The consumer-trust cost of optimisation:</w:t>
      </w:r>
      <w:r>
        <w:rPr>
          <w:rFonts w:ascii="Calibri" w:hAnsi="Calibri"/>
          <w:b w:val="0"/>
          <w:i w:val="0"/>
          <w:color w:val="1A1A1A"/>
          <w:sz w:val="22"/>
        </w:rPr>
        <w:t xml:space="preserve"> interfaces optimised for conversion drift towards designs that make signing up easy and cancelling hard, and on 25 September 2025 the firm settled the Federal Trade Commission's Prime enrolment case for </w:t>
      </w:r>
      <w:r>
        <w:rPr>
          <w:rFonts w:ascii="Calibri" w:hAnsi="Calibri"/>
          <w:b/>
          <w:i w:val="0"/>
          <w:color w:val="1A1A1A"/>
          <w:sz w:val="22"/>
        </w:rPr>
        <w:t>USD 2.5 billion — USD 1 billion in civil penalties and USD 1.5 billion in refunds to consumers</w:t>
      </w:r>
      <w:r>
        <w:rPr>
          <w:rFonts w:ascii="Calibri" w:hAnsi="Calibri"/>
          <w:b w:val="0"/>
          <w:i w:val="0"/>
          <w:color w:val="1A1A1A"/>
          <w:sz w:val="22"/>
        </w:rPr>
        <w:t xml:space="preserve">, the largest civil penalty ever obtained for violation of an FTC rule, with an order requiring a clear button to decline Prime and a cancellation route that is not costly or time-consuming. That is what happens when an organisation measures conversion with no countervailing metric for consent. </w:t>
      </w:r>
      <w:r>
        <w:rPr>
          <w:rFonts w:ascii="Calibri" w:hAnsi="Calibri"/>
          <w:b/>
          <w:i w:val="0"/>
          <w:color w:val="1A1A1A"/>
          <w:sz w:val="22"/>
        </w:rPr>
        <w:t>The human cost of the delivery promise:</w:t>
      </w:r>
      <w:r>
        <w:rPr>
          <w:rFonts w:ascii="Calibri" w:hAnsi="Calibri"/>
          <w:b w:val="0"/>
          <w:i w:val="0"/>
          <w:color w:val="1A1A1A"/>
          <w:sz w:val="22"/>
        </w:rPr>
        <w:t xml:space="preserve"> injury rates, algorithmic work measurement and the conditions of last-mile drivers have drawn sustained regulatory and union attention, including the first union vote won at a US fulfilment centre in 2022. </w:t>
      </w:r>
      <w:r>
        <w:rPr>
          <w:rFonts w:ascii="Calibri" w:hAnsi="Calibri"/>
          <w:b/>
          <w:i w:val="0"/>
          <w:color w:val="1A1A1A"/>
          <w:sz w:val="22"/>
        </w:rPr>
        <w:t>And the cost of automation to the firm's own workforce:</w:t>
      </w:r>
      <w:r>
        <w:rPr>
          <w:rFonts w:ascii="Calibri" w:hAnsi="Calibri"/>
          <w:b w:val="0"/>
          <w:i w:val="0"/>
          <w:color w:val="1A1A1A"/>
          <w:sz w:val="22"/>
        </w:rPr>
        <w:t xml:space="preserve"> Amazon cut roughly 14,000 corporate roles in October 2025 and announced about 16,000 more in January 2026, booking USD 730 million of estimated severance in Q4 2025 alone, while total headcount stayed near 1.58 million because warehouse hiring continued. A firm that automates its own head office is making a testable claim about where AI takes work out first, and it is not the warehouse.</w:t>
      </w:r>
    </w:p>
    <w:p>
      <w:pPr>
        <w:spacing w:before="0" w:after="100" w:line="274" w:lineRule="auto"/>
      </w:pPr>
      <w:r>
        <w:rPr>
          <w:rFonts w:ascii="Calibri" w:hAnsi="Calibri"/>
          <w:b/>
          <w:i w:val="0"/>
          <w:color w:val="1A1A1A"/>
          <w:sz w:val="22"/>
        </w:rPr>
        <w:t>And platform dependency seen from the seller's side.</w:t>
      </w:r>
      <w:r>
        <w:rPr>
          <w:rFonts w:ascii="Calibri" w:hAnsi="Calibri"/>
          <w:b w:val="0"/>
          <w:i w:val="0"/>
          <w:color w:val="1A1A1A"/>
          <w:sz w:val="22"/>
        </w:rPr>
        <w:t xml:space="preserve"> From where the seller stands the platform is at once the market, the landlord, the advertising agency, the logistics provider, the payment processor, the arbiter of disputes and a competitor — a concentration with no analogue in traditional retail, in which a change of fee schedule or ranking rule can move a seller from profit to loss with no change in the seller's own performance.</w:t>
      </w:r>
    </w:p>
    <w:p>
      <w:pPr>
        <w:spacing w:before="0" w:after="40" w:line="274" w:lineRule="auto"/>
      </w:pPr>
      <w:r>
        <w:rPr>
          <w:rFonts w:ascii="Calibri" w:hAnsi="Calibri"/>
          <w:b/>
          <w:i/>
          <w:color w:val="5A6472"/>
          <w:sz w:val="19"/>
        </w:rPr>
        <w:t>Table CS.6. Risk map: mechanism, early warning signal and mitigation</w:t>
      </w:r>
    </w:p>
    <w:tbl>
      <w:tblPr>
        <w:tblW w:type="dxa" w:w="9300"/>
        <w:jc w:val="center"/>
        <w:tblLayout w:type="fixed"/>
        <w:tblLook w:firstColumn="1" w:firstRow="1" w:lastColumn="0" w:lastRow="0" w:noHBand="0" w:noVBand="1" w:val="04A0"/>
      </w:tblPr>
      <w:tblGrid>
        <w:gridCol w:w="2353"/>
        <w:gridCol w:w="2353"/>
        <w:gridCol w:w="2353"/>
        <w:gridCol w:w="2353"/>
      </w:tblGrid>
      <w:tr>
        <w:tc>
          <w:tcPr>
            <w:tcW w:type="dxa" w:w="2353"/>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Risk</w:t>
            </w:r>
          </w:p>
        </w:tc>
        <w:tc>
          <w:tcPr>
            <w:tcW w:type="dxa" w:w="2353"/>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Damage mechanism</w:t>
            </w:r>
          </w:p>
        </w:tc>
        <w:tc>
          <w:tcPr>
            <w:tcW w:type="dxa" w:w="2353"/>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Early warning signal</w:t>
            </w:r>
          </w:p>
        </w:tc>
        <w:tc>
          <w:tcPr>
            <w:tcW w:type="dxa" w:w="2353"/>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Mitigation</w:t>
            </w:r>
          </w:p>
        </w:tc>
      </w:tr>
      <w:tr>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Negative network effects at scale</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More sellers → counterfeits and fake reviews → trust falls → the loop runs backwards</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Rising complaints and returns in new categories</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Verify sellers before entry; police by risk category; treat trust as an operating metric</w:t>
            </w:r>
          </w:p>
        </w:tc>
      </w:tr>
      <w:tr>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Referee and player on one field</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Ranking and first-party retail sit in one firm; seller data informs own-brand decisions</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Regulatory proceedings — FTC trial March 2027, EU gatekeeper obligations</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Separate data structurally; publish and audit ranking criteria; prove neutrality rather than assert it</w:t>
            </w:r>
          </w:p>
        </w:tc>
      </w:tr>
      <w:tr>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Advertising eroding match quality; conversion-optimised design</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Bidding displaces results chosen for fit; hard-to-cancel journeys draw enforcement</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Sponsored clicks rising while conversion falls; cancellation complaints</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Cap sponsored slots and monitor return rates, not click revenue; pair conversion metrics with a consent metric</w:t>
            </w:r>
          </w:p>
        </w:tc>
      </w:tr>
      <w:tr>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Capital intensity of the AI build-out</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Capex USD 131.8bn in FY2025 and about USD 200bn guided for 2026 turns free cash flow negative and raises debt</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Free cash flow outflow of USD 7.6bn in the year to June 2026; long-term debt nearly doubled in six months</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Stage capacity against contracted demand; disclose return on invested capital by vintage, not in aggregate</w:t>
            </w:r>
          </w:p>
        </w:tc>
      </w:tr>
      <w:tr>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Profit concentration in one segment</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57% of operating income from 18% of revenue; a cloud slowdown transmits into retail pricing and seller fees</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AWS growth decelerating while capex commitments remain fixed</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Hold retail and seller-services margins to a standalone target rather than a cross-subsidised one</w:t>
            </w:r>
          </w:p>
        </w:tc>
      </w:tr>
      <w:tr>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Displacement of the interface by AI agents</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If agents buy for the customer, habit, brand and sponsored position lose value</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Rising share of orders begun by an assistant, not a search box</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Invest in what an agent needs — verifiable stock, price and delivery data — not in interface design</w:t>
            </w:r>
          </w:p>
        </w:tc>
      </w:tr>
    </w:tbl>
    <w:p>
      <w:pPr>
        <w:spacing w:before="40" w:after="120" w:line="274" w:lineRule="auto"/>
      </w:pPr>
      <w:r>
        <w:rPr>
          <w:rFonts w:ascii="Calibri" w:hAnsi="Calibri"/>
          <w:b w:val="0"/>
          <w:i/>
          <w:color w:val="5A6472"/>
          <w:sz w:val="18"/>
        </w:rPr>
        <w:t>Every source of advantage generates a twin risk through the same mechanism: scale creates selection and also counterfeits; integration creates the delivery promise and also the legal exposure; advertising funds low prices and degrades match quality; and the cloud margin that funded three decades of patience is now the thing being spent.</w:t>
      </w:r>
    </w:p>
    <w:p>
      <w:pPr>
        <w:keepNext/>
        <w:spacing w:before="180" w:after="60"/>
      </w:pPr>
      <w:r>
        <w:rPr>
          <w:rFonts w:ascii="Cambria" w:hAnsi="Cambria"/>
          <w:b/>
          <w:color w:val="6D3B8E"/>
          <w:sz w:val="25"/>
        </w:rPr>
        <w:t>7. Conditions for transfer to the Vietnamese context</w:t>
      </w:r>
    </w:p>
    <w:p>
      <w:pPr>
        <w:spacing w:before="0" w:after="100" w:line="274" w:lineRule="auto"/>
      </w:pPr>
      <w:r>
        <w:rPr>
          <w:rFonts w:ascii="Calibri" w:hAnsi="Calibri"/>
          <w:b w:val="0"/>
          <w:i w:val="0"/>
          <w:color w:val="1A1A1A"/>
          <w:sz w:val="22"/>
        </w:rPr>
        <w:t xml:space="preserve">This case must be read critically. Amazon's capital environment differs greatly from that of Vietnamese businesses: markets there tolerated a decade of thin profit and now tolerate a year of negative free cash flow on a USD 131.8 billion capital programme, while capital here is scarcer, dearer and expects returns on a far shorter horizon, so each stage of infrastructure must be viable on its own. What transfers is the </w:t>
      </w:r>
      <w:r>
        <w:rPr>
          <w:rFonts w:ascii="Calibri" w:hAnsi="Calibri"/>
          <w:b/>
          <w:i w:val="0"/>
          <w:color w:val="1A1A1A"/>
          <w:sz w:val="22"/>
        </w:rPr>
        <w:t>logic of thinking</w:t>
      </w:r>
      <w:r>
        <w:rPr>
          <w:rFonts w:ascii="Calibri" w:hAnsi="Calibri"/>
          <w:b w:val="0"/>
          <w:i w:val="0"/>
          <w:color w:val="1A1A1A"/>
          <w:sz w:val="22"/>
        </w:rPr>
        <w:t xml:space="preserve"> — expanding from an existing capability, patience with infrastructure, and knowing where profit comes from — not the portfolio of activities. A firm reading this case as a plan to build a national logistics network has read it backwards.</w:t>
      </w:r>
    </w:p>
    <w:p>
      <w:pPr>
        <w:spacing w:before="0" w:after="40" w:line="274" w:lineRule="auto"/>
      </w:pPr>
      <w:r>
        <w:rPr>
          <w:rFonts w:ascii="Calibri" w:hAnsi="Calibri"/>
          <w:b/>
          <w:i/>
          <w:color w:val="5A6472"/>
          <w:sz w:val="19"/>
        </w:rPr>
        <w:t>Table CS.7. Comparing underlying conditions: United States and Vietnam</w:t>
      </w:r>
    </w:p>
    <w:tbl>
      <w:tblPr>
        <w:tblW w:type="dxa" w:w="9300"/>
        <w:jc w:val="center"/>
        <w:tblLayout w:type="fixed"/>
        <w:tblLook w:firstColumn="1" w:firstRow="1" w:lastColumn="0" w:lastRow="0" w:noHBand="0" w:noVBand="1" w:val="04A0"/>
      </w:tblPr>
      <w:tblGrid>
        <w:gridCol w:w="2353"/>
        <w:gridCol w:w="2353"/>
        <w:gridCol w:w="2353"/>
        <w:gridCol w:w="2353"/>
      </w:tblGrid>
      <w:tr>
        <w:tc>
          <w:tcPr>
            <w:tcW w:type="dxa" w:w="2353"/>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Underlying condition</w:t>
            </w:r>
          </w:p>
        </w:tc>
        <w:tc>
          <w:tcPr>
            <w:tcW w:type="dxa" w:w="2353"/>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United States (Amazon's context)</w:t>
            </w:r>
          </w:p>
        </w:tc>
        <w:tc>
          <w:tcPr>
            <w:tcW w:type="dxa" w:w="2353"/>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Vietnam (domestic firms' context)</w:t>
            </w:r>
          </w:p>
        </w:tc>
        <w:tc>
          <w:tcPr>
            <w:tcW w:type="dxa" w:w="2353"/>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Transfer implication</w:t>
            </w:r>
          </w:p>
        </w:tc>
      </w:tr>
      <w:tr>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Order density and last-mile cost</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Low density and long distances make delivery the largest cost in an order — worldwide shipping cost was USD 31.5bn in Q4 2025 alone</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High urban density and two-wheeler networks make last mile cheap</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Delivery speed is a weaker advantage in Vietnam</w:t>
            </w:r>
            <w:r>
              <w:rPr>
                <w:rFonts w:ascii="Calibri" w:hAnsi="Calibri"/>
                <w:b w:val="0"/>
                <w:i w:val="0"/>
                <w:color w:val="20242B"/>
                <w:sz w:val="19"/>
              </w:rPr>
              <w:t xml:space="preserve"> because it is cheap for everyone</w:t>
            </w:r>
          </w:p>
        </w:tc>
      </w:tr>
      <w:tr>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Payment</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Card-based; the transaction completes on dispatch</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Wallets growing fast, but cash on delivery remains common, raising refusals and slowing working capital</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Model refusal and return cost explicitly; a promise built on prepayment will not survive COD</w:t>
            </w:r>
          </w:p>
        </w:tc>
      </w:tr>
      <w:tr>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Data scale and position in the ecosystem</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 xml:space="preserve">Decades of first-party behavioural data; Amazon </w:t>
            </w:r>
            <w:r>
              <w:rPr>
                <w:rFonts w:ascii="Calibri" w:hAnsi="Calibri"/>
                <w:b w:val="0"/>
                <w:i/>
                <w:color w:val="20242B"/>
                <w:sz w:val="19"/>
              </w:rPr>
              <w:t>is</w:t>
            </w:r>
            <w:r>
              <w:rPr>
                <w:rFonts w:ascii="Calibri" w:hAnsi="Calibri"/>
                <w:b w:val="0"/>
                <w:i w:val="0"/>
                <w:color w:val="20242B"/>
                <w:sz w:val="19"/>
              </w:rPr>
              <w:t xml:space="preserve"> the platform</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 xml:space="preserve">Data scattered across marketplaces the firm does not own; almost every Vietnamese firm is a </w:t>
            </w:r>
            <w:r>
              <w:rPr>
                <w:rFonts w:ascii="Calibri" w:hAnsi="Calibri"/>
                <w:b w:val="0"/>
                <w:i/>
                <w:color w:val="20242B"/>
                <w:sz w:val="19"/>
              </w:rPr>
              <w:t>seller on someone else's platform</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Build measurement before AI; read this case to know the counterparty, not to imitate it</w:t>
            </w:r>
          </w:p>
        </w:tc>
      </w:tr>
      <w:tr>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Capital available for infrastructure</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USD 131.8bn of capital expenditure in FY2025 and about USD 200bn guided for 2026, financed partly by doubling long-term debt</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Bank-led financing, shorter tenors, no tolerance for a decade of thin margin</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Each infrastructure stage must pay for itself; sequence capabilities, do not stack bets</w:t>
            </w:r>
          </w:p>
        </w:tc>
      </w:tr>
      <w:tr>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Legal and competition framework</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Established competition and consumer-protection regimes; FTC monopolisation trial set for March 2027 and a USD 2.5bn Prime settlement in 2025</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Law on E-commerce No. 122/2025/QH15, passed 10 December 2025, and Decree 248/2026/ND-CP, both in force from 1 July 2026, with electronic identity verification of sellers and livestream sellers from 1 January 2027</w:t>
            </w:r>
          </w:p>
        </w:tc>
        <w:tc>
          <w:tcPr>
            <w:tcW w:type="dxa" w:w="2353"/>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Design compliance cost in from the start; budget for seller identity verification and record-keeping, not only for platform fees</w:t>
            </w:r>
          </w:p>
        </w:tc>
      </w:tr>
      <w:tr>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Platform fee governance</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Fee schedules change unilaterally; the referral fee for most categories stayed at 15% in 2026</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In May 2026 the National Competition Commission required Shopee to explain and review new seller fees, and on 27 May 2026 Shopee reported it would postpone the programme</w:t>
            </w:r>
          </w:p>
        </w:tc>
        <w:tc>
          <w:tcPr>
            <w:tcW w:type="dxa" w:w="2353"/>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Fee risk is now partly a regulatory variable; monitor it, but do not build a plan that only works at today's fee level</w:t>
            </w:r>
          </w:p>
        </w:tc>
      </w:tr>
    </w:tbl>
    <w:p>
      <w:pPr>
        <w:spacing w:before="40" w:after="120" w:line="274" w:lineRule="auto"/>
      </w:pPr>
      <w:r>
        <w:rPr>
          <w:rFonts w:ascii="Calibri" w:hAnsi="Calibri"/>
          <w:b w:val="0"/>
          <w:i/>
          <w:color w:val="5A6472"/>
          <w:sz w:val="18"/>
        </w:rPr>
        <w:t xml:space="preserve">The </w:t>
      </w:r>
      <w:r>
        <w:rPr>
          <w:rFonts w:ascii="Calibri" w:hAnsi="Calibri"/>
          <w:b w:val="0"/>
          <w:i/>
          <w:color w:val="5A6472"/>
          <w:sz w:val="18"/>
        </w:rPr>
        <w:t>mechanism</w:t>
      </w:r>
      <w:r>
        <w:rPr>
          <w:rFonts w:ascii="Calibri" w:hAnsi="Calibri"/>
          <w:b w:val="0"/>
          <w:i/>
          <w:color w:val="5A6472"/>
          <w:sz w:val="18"/>
        </w:rPr>
        <w:t xml:space="preserve"> transfers — turning a capability into a product, and knowing which activity group actually earns — while the </w:t>
      </w:r>
      <w:r>
        <w:rPr>
          <w:rFonts w:ascii="Calibri" w:hAnsi="Calibri"/>
          <w:b w:val="0"/>
          <w:i/>
          <w:color w:val="5A6472"/>
          <w:sz w:val="18"/>
        </w:rPr>
        <w:t>form</w:t>
      </w:r>
      <w:r>
        <w:rPr>
          <w:rFonts w:ascii="Calibri" w:hAnsi="Calibri"/>
          <w:b w:val="0"/>
          <w:i/>
          <w:color w:val="5A6472"/>
          <w:sz w:val="18"/>
        </w:rPr>
        <w:t xml:space="preserve"> does not. A national fulfilment network answers an American geography; in Vietnam the question is which capability a firm already owns that a neighbour would pay for.</w:t>
      </w:r>
    </w:p>
    <w:p>
      <w:pPr>
        <w:spacing w:before="0" w:after="100" w:line="274" w:lineRule="auto"/>
      </w:pPr>
      <w:r>
        <w:rPr>
          <w:rFonts w:ascii="Calibri" w:hAnsi="Calibri"/>
          <w:b w:val="0"/>
          <w:i w:val="0"/>
          <w:color w:val="1A1A1A"/>
          <w:sz w:val="22"/>
        </w:rPr>
        <w:t>Within that constraint, four propositions transfer directly.</w:t>
      </w:r>
    </w:p>
    <w:p>
      <w:pPr>
        <w:spacing w:after="60" w:line="269" w:lineRule="auto"/>
        <w:ind w:left="340" w:hanging="198"/>
      </w:pPr>
      <w:r>
        <w:rPr>
          <w:rFonts w:ascii="Calibri" w:hAnsi="Calibri"/>
          <w:b/>
          <w:color w:val="D98A00"/>
          <w:sz w:val="22"/>
        </w:rPr>
        <w:t xml:space="preserve">•  </w:t>
      </w:r>
      <w:r>
        <w:rPr>
          <w:rFonts w:ascii="Calibri" w:hAnsi="Calibri"/>
          <w:b/>
          <w:i w:val="0"/>
          <w:color w:val="1A1A1A"/>
          <w:sz w:val="22"/>
        </w:rPr>
        <w:t>Choose the starting category by transaction-cost structure</w:t>
      </w:r>
      <w:r>
        <w:rPr>
          <w:rFonts w:ascii="Calibri" w:hAnsi="Calibri"/>
          <w:b w:val="0"/>
          <w:i w:val="0"/>
          <w:color w:val="1A1A1A"/>
          <w:sz w:val="22"/>
        </w:rPr>
        <w:t>, not by inspiration: run the two-part test from Section 1 — is search cost high, and is verification cost low?</w:t>
      </w:r>
    </w:p>
    <w:p>
      <w:pPr>
        <w:spacing w:after="60" w:line="269" w:lineRule="auto"/>
        <w:ind w:left="340" w:hanging="198"/>
      </w:pPr>
      <w:r>
        <w:rPr>
          <w:rFonts w:ascii="Calibri" w:hAnsi="Calibri"/>
          <w:b/>
          <w:color w:val="D98A00"/>
          <w:sz w:val="22"/>
        </w:rPr>
        <w:t xml:space="preserve">•  </w:t>
      </w:r>
      <w:r>
        <w:rPr>
          <w:rFonts w:ascii="Calibri" w:hAnsi="Calibri"/>
          <w:b/>
          <w:i w:val="0"/>
          <w:color w:val="1A1A1A"/>
          <w:sz w:val="22"/>
        </w:rPr>
        <w:t>Turn fixed costs into a revenue source</w:t>
      </w:r>
      <w:r>
        <w:rPr>
          <w:rFonts w:ascii="Calibri" w:hAnsi="Calibri"/>
          <w:b w:val="0"/>
          <w:i w:val="0"/>
          <w:color w:val="1A1A1A"/>
          <w:sz w:val="22"/>
        </w:rPr>
        <w:t>: a business with a warehouse, a delivery team or a content team can open that capability to partners. Amazon Supply Chain Services is the 2026 version of this at global scale; at Vietnamese scale it is a brand with spare warehouse space handling dispatch for two non-competing brands.</w:t>
      </w:r>
    </w:p>
    <w:p>
      <w:pPr>
        <w:spacing w:after="60" w:line="269" w:lineRule="auto"/>
        <w:ind w:left="340" w:hanging="198"/>
      </w:pPr>
      <w:r>
        <w:rPr>
          <w:rFonts w:ascii="Calibri" w:hAnsi="Calibri"/>
          <w:b/>
          <w:color w:val="D98A00"/>
          <w:sz w:val="22"/>
        </w:rPr>
        <w:t xml:space="preserve">•  </w:t>
      </w:r>
      <w:r>
        <w:rPr>
          <w:rFonts w:ascii="Calibri" w:hAnsi="Calibri"/>
          <w:b/>
          <w:i w:val="0"/>
          <w:color w:val="1A1A1A"/>
          <w:sz w:val="22"/>
        </w:rPr>
        <w:t>Invest in what the customer feels on every purchase</w:t>
      </w:r>
      <w:r>
        <w:rPr>
          <w:rFonts w:ascii="Calibri" w:hAnsi="Calibri"/>
          <w:b w:val="0"/>
          <w:i w:val="0"/>
          <w:color w:val="1A1A1A"/>
          <w:sz w:val="22"/>
        </w:rPr>
        <w:t>: a promotion buys one order; a delivery promise that holds buys the next twenty.</w:t>
      </w:r>
    </w:p>
    <w:p>
      <w:pPr>
        <w:spacing w:after="60" w:line="269" w:lineRule="auto"/>
        <w:ind w:left="340" w:hanging="198"/>
      </w:pPr>
      <w:r>
        <w:rPr>
          <w:rFonts w:ascii="Calibri" w:hAnsi="Calibri"/>
          <w:b/>
          <w:color w:val="D98A00"/>
          <w:sz w:val="22"/>
        </w:rPr>
        <w:t xml:space="preserve">•  </w:t>
      </w:r>
      <w:r>
        <w:rPr>
          <w:rFonts w:ascii="Calibri" w:hAnsi="Calibri"/>
          <w:b/>
          <w:i w:val="0"/>
          <w:color w:val="1A1A1A"/>
          <w:sz w:val="22"/>
        </w:rPr>
        <w:t>Accept that profit may come from somewhere other than sales</w:t>
      </w:r>
      <w:r>
        <w:rPr>
          <w:rFonts w:ascii="Calibri" w:hAnsi="Calibri"/>
          <w:b w:val="0"/>
          <w:i w:val="0"/>
          <w:color w:val="1A1A1A"/>
          <w:sz w:val="22"/>
        </w:rPr>
        <w:t>: calculate profit by activity group. Any firm running a marketplace storefront, a website and a social channel should be able to state the contribution of each — and most cannot.</w:t>
      </w:r>
    </w:p>
    <w:p>
      <w:pPr>
        <w:spacing w:before="0" w:after="100" w:line="274" w:lineRule="auto"/>
      </w:pPr>
      <w:r>
        <w:rPr>
          <w:rFonts w:ascii="Calibri" w:hAnsi="Calibri"/>
          <w:b w:val="0"/>
          <w:i w:val="0"/>
          <w:color w:val="1A1A1A"/>
          <w:sz w:val="22"/>
        </w:rPr>
        <w:t xml:space="preserve">For most Vietnamese businesses Amazon is not a model to imitate but a </w:t>
      </w:r>
      <w:r>
        <w:rPr>
          <w:rFonts w:ascii="Calibri" w:hAnsi="Calibri"/>
          <w:b/>
          <w:i w:val="0"/>
          <w:color w:val="1A1A1A"/>
          <w:sz w:val="22"/>
        </w:rPr>
        <w:t>channel to use and a counterparty to manage</w:t>
      </w:r>
      <w:r>
        <w:rPr>
          <w:rFonts w:ascii="Calibri" w:hAnsi="Calibri"/>
          <w:b w:val="0"/>
          <w:i w:val="0"/>
          <w:color w:val="1A1A1A"/>
          <w:sz w:val="22"/>
        </w:rPr>
        <w:t xml:space="preserve">. Amazon Global Selling has operated a Vietnam programme with the Ministry of Industry and Trade (moit.gov.vn), and the direction of travel is measurable: in the twelve months to 31 July 2025 the number of products sold by Vietnamese selling partners rose about 35% year on year, revenue from Vietnamese branded products rose more than 40%, and the number of Vietnamese sellers exceeding USD 1 million of annual sales rose about 60% — concentrated where Vietnam has genuine supply advantages, in home goods, kitchenware, crafts, garments and agricultural specialities. Section 4 then becomes an operating manual read from the other side, and a sensible order of priorities runs against the usual instinct: </w:t>
      </w:r>
      <w:r>
        <w:rPr>
          <w:rFonts w:ascii="Calibri" w:hAnsi="Calibri"/>
          <w:b/>
          <w:i w:val="0"/>
          <w:color w:val="1A1A1A"/>
          <w:sz w:val="22"/>
        </w:rPr>
        <w:t>(1) know the profit per order on every channel → (2) secure the delivery promise → (3) build one capability well enough to sell to a partner → (4) only then buy visibility at scale.</w:t>
      </w:r>
    </w:p>
    <w:p>
      <w:pPr>
        <w:keepNext/>
        <w:spacing w:before="180" w:after="60"/>
      </w:pPr>
      <w:r>
        <w:rPr>
          <w:rFonts w:ascii="Cambria" w:hAnsi="Cambria"/>
          <w:b/>
          <w:color w:val="6D3B8E"/>
          <w:sz w:val="25"/>
        </w:rPr>
        <w:t>8. Connecting the case to the chapter</w:t>
      </w:r>
    </w:p>
    <w:p>
      <w:pPr>
        <w:spacing w:before="0" w:after="100" w:line="274" w:lineRule="auto"/>
      </w:pPr>
      <w:r>
        <w:rPr>
          <w:rFonts w:ascii="Calibri" w:hAnsi="Calibri"/>
          <w:b w:val="0"/>
          <w:i w:val="0"/>
          <w:color w:val="1A1A1A"/>
          <w:sz w:val="22"/>
        </w:rPr>
        <w:t>Chapter 1 sets out tools rather than facts, and this case gives every tool something to bite on. The table below is also a marking frame: a presentation that retells Amazon's history without answering the check questions has not met the requirement.</w:t>
      </w:r>
    </w:p>
    <w:p>
      <w:pPr>
        <w:spacing w:before="0" w:after="40" w:line="274" w:lineRule="auto"/>
      </w:pPr>
      <w:r>
        <w:rPr>
          <w:rFonts w:ascii="Calibri" w:hAnsi="Calibri"/>
          <w:b/>
          <w:i/>
          <w:color w:val="5A6472"/>
          <w:sz w:val="19"/>
        </w:rPr>
        <w:t>Table CS.8. Connecting the case to chapter concepts</w:t>
      </w:r>
    </w:p>
    <w:tbl>
      <w:tblPr>
        <w:tblW w:type="dxa" w:w="9300"/>
        <w:jc w:val="center"/>
        <w:tblLayout w:type="fixed"/>
        <w:tblLook w:firstColumn="1" w:firstRow="1" w:lastColumn="0" w:lastRow="0" w:noHBand="0" w:noVBand="1" w:val="04A0"/>
      </w:tblPr>
      <w:tblGrid>
        <w:gridCol w:w="3137"/>
        <w:gridCol w:w="3137"/>
        <w:gridCol w:w="3137"/>
      </w:tblGrid>
      <w:tr>
        <w:tc>
          <w:tcPr>
            <w:tcW w:type="dxa" w:w="3137"/>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Chapter concept</w:t>
            </w:r>
          </w:p>
        </w:tc>
        <w:tc>
          <w:tcPr>
            <w:tcW w:type="dxa" w:w="3137"/>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Concrete expression at Amazon</w:t>
            </w:r>
          </w:p>
        </w:tc>
        <w:tc>
          <w:tcPr>
            <w:tcW w:type="dxa" w:w="3137"/>
            <w:shd w:val="clear" w:color="auto" w:fill="16224A"/>
            <w:tcMar>
              <w:top w:w="60" w:type="dxa"/>
              <w:bottom w:w="6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pPr>
            <w:r/>
            <w:r>
              <w:rPr>
                <w:rFonts w:ascii="Calibri" w:hAnsi="Calibri"/>
                <w:b/>
                <w:color w:val="FFFFFF"/>
                <w:sz w:val="19"/>
              </w:rPr>
              <w:t>Quick check question for students</w:t>
            </w:r>
          </w:p>
        </w:tc>
      </w:tr>
      <w:tr>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Six levels of digital maturity (Section 8)</w:t>
            </w:r>
          </w:p>
        </w:tc>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Every rung climbed by one firm, in order, without ever having to unlearn a lower one</w:t>
            </w:r>
          </w:p>
        </w:tc>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At which level does a Vietnamese firm you know sit, and is the obstacle technology or the way people are measured?</w:t>
            </w:r>
          </w:p>
        </w:tc>
      </w:tr>
      <w:tr>
        <w:tc>
          <w:tcPr>
            <w:tcW w:type="dxa" w:w="3137"/>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Six infrastructure layers (Section 4)</w:t>
            </w:r>
          </w:p>
        </w:tc>
        <w:tc>
          <w:tcPr>
            <w:tcW w:type="dxa" w:w="3137"/>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Five of the six were missing in 1994; each one built became a business — trust, payment, warehousing, delivery, data</w:t>
            </w:r>
          </w:p>
        </w:tc>
        <w:tc>
          <w:tcPr>
            <w:tcW w:type="dxa" w:w="3137"/>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Which layer is still missing in your market, and who is currently paying the cost of its absence?</w:t>
            </w:r>
          </w:p>
        </w:tc>
      </w:tr>
      <w:tr>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Four transaction costs (Section 9)</w:t>
            </w:r>
          </w:p>
        </w:tc>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All four reduced; counterfeits are the verification cost returning through the same door</w:t>
            </w:r>
          </w:p>
        </w:tc>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Name a category where the model fails, and say which of the four costs it cannot reduce</w:t>
            </w:r>
          </w:p>
        </w:tc>
      </w:tr>
      <w:tr>
        <w:tc>
          <w:tcPr>
            <w:tcW w:type="dxa" w:w="3137"/>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Network effects, same-side and cross-side (Section 10)</w:t>
            </w:r>
          </w:p>
        </w:tc>
        <w:tc>
          <w:tcPr>
            <w:tcW w:type="dxa" w:w="3137"/>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Sellers ↔ buyers is positive and cross-side; seller ↔ seller is negative and same-side, which is why sellers must advertise against each other</w:t>
            </w:r>
          </w:p>
        </w:tc>
        <w:tc>
          <w:tcPr>
            <w:tcW w:type="dxa" w:w="3137"/>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 xml:space="preserve">Identify one Amazon decision designed to </w:t>
            </w:r>
            <w:r>
              <w:rPr>
                <w:rFonts w:ascii="Calibri" w:hAnsi="Calibri"/>
                <w:b w:val="0"/>
                <w:i/>
                <w:color w:val="20242B"/>
                <w:sz w:val="19"/>
              </w:rPr>
              <w:t>restrict</w:t>
            </w:r>
            <w:r>
              <w:rPr>
                <w:rFonts w:ascii="Calibri" w:hAnsi="Calibri"/>
                <w:b w:val="0"/>
                <w:i w:val="0"/>
                <w:color w:val="20242B"/>
                <w:sz w:val="19"/>
              </w:rPr>
              <w:t xml:space="preserve"> supply. Why would a platform want that?</w:t>
            </w:r>
          </w:p>
        </w:tc>
      </w:tr>
      <w:tr>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Take rate against all-in cost (Section 10.2)</w:t>
            </w:r>
          </w:p>
        </w:tc>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A 15% headline referral fee sits against an assumed 42.8% all-in cost once fulfilment, advertising and returns are counted</w:t>
            </w:r>
          </w:p>
        </w:tc>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Redo Section 4.1 at a 60% gross margin. At what margin does the platform stop making sense?</w:t>
            </w:r>
          </w:p>
        </w:tc>
      </w:tr>
      <w:tr>
        <w:tc>
          <w:tcPr>
            <w:tcW w:type="dxa" w:w="3137"/>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GMV ≠ Revenue ≠ Profit (Section 10.3)</w:t>
            </w:r>
          </w:p>
        </w:tc>
        <w:tc>
          <w:tcPr>
            <w:tcW w:type="dxa" w:w="3137"/>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61% of paid units are third-party but enter revenue only as fees; 18.0% of revenue produces 57% of operating income</w:t>
            </w:r>
          </w:p>
        </w:tc>
        <w:tc>
          <w:tcPr>
            <w:tcW w:type="dxa" w:w="3137"/>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Why can Amazon's revenue not be compared directly with a marketplace's at the same value of goods sold?</w:t>
            </w:r>
          </w:p>
        </w:tc>
      </w:tr>
      <w:tr>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Switching costs, both sides (Section 10.4)</w:t>
            </w:r>
          </w:p>
        </w:tc>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Prime raises the buyer's switching cost with a fee paid in advance; ranking and fulfilment lock-in raise the seller's</w:t>
            </w:r>
          </w:p>
        </w:tc>
        <w:tc>
          <w:tcPr>
            <w:tcW w:type="dxa" w:w="3137"/>
            <w:shd w:val="clear" w:color="auto" w:fill="FFFFFF"/>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Which of the two is easier to escape, and what does that do to fee negotiations?</w:t>
            </w:r>
          </w:p>
        </w:tc>
      </w:tr>
      <w:tr>
        <w:tc>
          <w:tcPr>
            <w:tcW w:type="dxa" w:w="3137"/>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i w:val="0"/>
                <w:color w:val="20242B"/>
                <w:sz w:val="19"/>
              </w:rPr>
              <w:t>AI Commerce and Agent Optimization (Section 17)</w:t>
            </w:r>
          </w:p>
        </w:tc>
        <w:tc>
          <w:tcPr>
            <w:tcW w:type="dxa" w:w="3137"/>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AI-assisted in content, AI-driven in ranking and placement, agentic in Rufus and Alexa for Shopping, which buy on the customer's behalf</w:t>
            </w:r>
          </w:p>
        </w:tc>
        <w:tc>
          <w:tcPr>
            <w:tcW w:type="dxa" w:w="3137"/>
            <w:shd w:val="clear" w:color="auto" w:fill="F4F7FB"/>
            <w:tcMar>
              <w:top w:w="50" w:type="dxa"/>
              <w:bottom w:w="50" w:type="dxa"/>
              <w:start w:w="110" w:type="dxa"/>
              <w:end w:w="110" w:type="dxa"/>
            </w:tcMar>
            <w:tcBorders>
              <w:top w:val="single" w:sz="2" w:space="4" w:color="D6DEEA"/>
              <w:bottom w:val="single" w:sz="2" w:space="4" w:color="D6DEEA"/>
              <w:left w:val="single" w:sz="2" w:space="4" w:color="D6DEEA"/>
              <w:right w:val="single" w:sz="2" w:space="4" w:color="D6DEEA"/>
            </w:tcBorders>
          </w:tcPr>
          <w:p>
            <w:pPr>
              <w:spacing w:after="0" w:line="252" w:lineRule="auto"/>
            </w:pPr>
            <w:r/>
            <w:r>
              <w:rPr>
                <w:rFonts w:ascii="Calibri" w:hAnsi="Calibri"/>
                <w:b w:val="0"/>
                <w:i w:val="0"/>
                <w:color w:val="20242B"/>
                <w:sz w:val="19"/>
              </w:rPr>
              <w:t>What must a Vietnamese SME publish to be selectable by a buying agent?</w:t>
            </w:r>
          </w:p>
        </w:tc>
      </w:tr>
    </w:tbl>
    <w:p>
      <w:pPr>
        <w:spacing w:before="40" w:after="120" w:line="274" w:lineRule="auto"/>
      </w:pPr>
      <w:r>
        <w:rPr>
          <w:rFonts w:ascii="Calibri" w:hAnsi="Calibri"/>
          <w:b w:val="0"/>
          <w:i/>
          <w:color w:val="5A6472"/>
          <w:sz w:val="18"/>
        </w:rPr>
        <w:t>A group that can populate the middle column but not answer the right-hand one has described Amazon rather than analysed it.</w:t>
      </w:r>
    </w:p>
    <w:p>
      <w:pPr>
        <w:spacing w:before="0" w:after="100" w:line="274" w:lineRule="auto"/>
      </w:pPr>
      <w:r>
        <w:rPr>
          <w:rFonts w:ascii="Calibri" w:hAnsi="Calibri"/>
          <w:b w:val="0"/>
          <w:i w:val="0"/>
          <w:color w:val="1A1A1A"/>
          <w:sz w:val="22"/>
        </w:rPr>
        <w:t xml:space="preserve">The chapter's central tool is the </w:t>
      </w:r>
      <w:r>
        <w:rPr>
          <w:rFonts w:ascii="Calibri" w:hAnsi="Calibri"/>
          <w:b/>
          <w:i w:val="0"/>
          <w:color w:val="1A1A1A"/>
          <w:sz w:val="22"/>
        </w:rPr>
        <w:t>seven-question framework</w:t>
      </w:r>
      <w:r>
        <w:rPr>
          <w:rFonts w:ascii="Calibri" w:hAnsi="Calibri"/>
          <w:b w:val="0"/>
          <w:i w:val="0"/>
          <w:color w:val="1A1A1A"/>
          <w:sz w:val="22"/>
        </w:rPr>
        <w:t xml:space="preserve"> of Section 19, and applying it answers this case's central question. Demand is created predominantly by the platform; the customer relationship belongs to it, since a seller shipping ten thousand orders may not know one customer's name; and so does control of the transaction — visibility, the pre-selected offer, when money is released, how disputes end — and of the data. AI takes part at every stage and increasingly </w:t>
      </w:r>
      <w:r>
        <w:rPr>
          <w:rFonts w:ascii="Calibri" w:hAnsi="Calibri"/>
          <w:b w:val="0"/>
          <w:i/>
          <w:color w:val="1A1A1A"/>
          <w:sz w:val="22"/>
        </w:rPr>
        <w:t>inside</w:t>
      </w:r>
      <w:r>
        <w:rPr>
          <w:rFonts w:ascii="Calibri" w:hAnsi="Calibri"/>
          <w:b w:val="0"/>
          <w:i w:val="0"/>
          <w:color w:val="1A1A1A"/>
          <w:sz w:val="22"/>
        </w:rPr>
        <w:t xml:space="preserve"> the purchase decision. Value creation is divided: sellers create most of the tangible value, the platform the infrastructure and the trust. Risk is not: sellers carry inventory and return risk, the platform reputational and legal risk. </w:t>
      </w:r>
      <w:r>
        <w:rPr>
          <w:rFonts w:ascii="Calibri" w:hAnsi="Calibri"/>
          <w:b/>
          <w:i w:val="0"/>
          <w:color w:val="1A1A1A"/>
          <w:sz w:val="22"/>
        </w:rPr>
        <w:t>That asymmetry is the substance of the platform-power debate in Section 24.1.</w:t>
      </w:r>
    </w:p>
    <w:p>
      <w:pPr>
        <w:spacing w:before="0" w:after="100" w:line="274" w:lineRule="auto"/>
      </w:pPr>
      <w:r>
        <w:rPr>
          <w:rFonts w:ascii="Calibri" w:hAnsi="Calibri"/>
          <w:b w:val="0"/>
          <w:i w:val="0"/>
          <w:color w:val="1A1A1A"/>
          <w:sz w:val="22"/>
        </w:rPr>
        <w:t xml:space="preserve">Asking </w:t>
      </w:r>
      <w:r>
        <w:rPr>
          <w:rFonts w:ascii="Calibri" w:hAnsi="Calibri"/>
          <w:b w:val="0"/>
          <w:i/>
          <w:color w:val="1A1A1A"/>
          <w:sz w:val="22"/>
        </w:rPr>
        <w:t>what does Amazon sell</w:t>
      </w:r>
      <w:r>
        <w:rPr>
          <w:rFonts w:ascii="Calibri" w:hAnsi="Calibri"/>
          <w:b w:val="0"/>
          <w:i w:val="0"/>
          <w:color w:val="1A1A1A"/>
          <w:sz w:val="22"/>
        </w:rPr>
        <w:t xml:space="preserve"> produces a list — books, groceries, servers, advertising, satellite internet, robotaxi rides — that explains nothing, because it changes every year. Asking </w:t>
      </w:r>
      <w:r>
        <w:rPr>
          <w:rFonts w:ascii="Calibri" w:hAnsi="Calibri"/>
          <w:b/>
          <w:i w:val="0"/>
          <w:color w:val="1A1A1A"/>
          <w:sz w:val="22"/>
        </w:rPr>
        <w:t>which parts of the customer journey it controls</w:t>
      </w:r>
      <w:r>
        <w:rPr>
          <w:rFonts w:ascii="Calibri" w:hAnsi="Calibri"/>
          <w:b w:val="0"/>
          <w:i w:val="0"/>
          <w:color w:val="1A1A1A"/>
          <w:sz w:val="22"/>
        </w:rPr>
        <w:t xml:space="preserve"> gives a stable answer: discovery, comparison, whose offer is seen, payment, delivery, returns, and the data recording all of it. A firm controlling that many stages does not need to own the goods — which is what it means to say Amazon turned commerce into infrastructure.</w:t>
      </w:r>
    </w:p>
    <w:p>
      <w:pPr>
        <w:spacing w:before="0" w:after="100" w:line="274" w:lineRule="auto"/>
      </w:pPr>
      <w:r>
        <w:rPr>
          <w:rFonts w:ascii="Calibri" w:hAnsi="Calibri"/>
          <w:b w:val="0"/>
          <w:i w:val="0"/>
          <w:color w:val="1A1A1A"/>
          <w:sz w:val="22"/>
        </w:rPr>
        <w:t xml:space="preserve">Placed beside Walmart the destination proves reachable from opposite directions — the incumbent's difficulty was internal incentives, the digital native's capital and patience — and both ended at one insight: </w:t>
      </w:r>
      <w:r>
        <w:rPr>
          <w:rFonts w:ascii="Calibri" w:hAnsi="Calibri"/>
          <w:b/>
          <w:i w:val="0"/>
          <w:color w:val="1A1A1A"/>
          <w:sz w:val="22"/>
        </w:rPr>
        <w:t>the store, the warehouse and the server are a single category of asset, infrastructure on which commerce runs</w:t>
      </w:r>
      <w:r>
        <w:rPr>
          <w:rFonts w:ascii="Calibri" w:hAnsi="Calibri"/>
          <w:b w:val="0"/>
          <w:i w:val="0"/>
          <w:color w:val="1A1A1A"/>
          <w:sz w:val="22"/>
        </w:rPr>
        <w:t xml:space="preserve">. It does not follow that every firm should aspire to become that infrastructure: </w:t>
      </w:r>
      <w:r>
        <w:rPr>
          <w:rFonts w:ascii="Calibri" w:hAnsi="Calibri"/>
          <w:b/>
          <w:i w:val="0"/>
          <w:color w:val="1A1A1A"/>
          <w:sz w:val="22"/>
        </w:rPr>
        <w:t>every business model is a complete package of trade-offs, not a menu from which the attractive parts can be selected.</w:t>
      </w:r>
      <w:r>
        <w:rPr>
          <w:rFonts w:ascii="Calibri" w:hAnsi="Calibri"/>
          <w:b w:val="0"/>
          <w:i w:val="0"/>
          <w:color w:val="1A1A1A"/>
          <w:sz w:val="22"/>
        </w:rPr>
        <w:t xml:space="preserve"> Amazon's FY2025 accounts price the trade-off exactly — USD 80.0 billion of operating income, and USD 11.2 billion of cash left after paying for the infrastructure that produced it.</w:t>
      </w:r>
    </w:p>
    <w:p>
      <w:pPr>
        <w:spacing w:before="200" w:after="100"/>
        <w:shd w:val="clear" w:color="auto" w:fill="2E7D46"/>
      </w:pPr>
      <w:r>
        <w:rPr>
          <w:rFonts w:ascii="Cambria" w:hAnsi="Cambria"/>
          <w:b/>
          <w:color w:val="FFFFFF"/>
          <w:sz w:val="24"/>
        </w:rPr>
        <w:t xml:space="preserve">  THREE LESSONS FROM THE CASE</w:t>
      </w:r>
    </w:p>
    <w:tbl>
      <w:tblPr>
        <w:tblW w:type="dxa" w:w="9300"/>
        <w:jc w:val="center"/>
        <w:tblLayout w:type="fixed"/>
        <w:tblLook w:firstColumn="1" w:firstRow="1" w:lastColumn="0" w:lastRow="0" w:noHBand="0" w:noVBand="1" w:val="04A0"/>
      </w:tblPr>
      <w:tblGrid>
        <w:gridCol w:w="640"/>
        <w:gridCol w:w="8660"/>
      </w:tblGrid>
      <w:tr>
        <w:tc>
          <w:tcPr>
            <w:tcW w:type="dxa" w:w="640"/>
            <w:shd w:val="clear" w:color="auto" w:fill="2E7D46"/>
            <w:tcMar>
              <w:top w:w="70" w:type="dxa"/>
              <w:bottom w:w="70" w:type="dxa"/>
              <w:start w:w="60" w:type="dxa"/>
              <w:end w:w="60" w:type="dxa"/>
            </w:tcMar>
            <w:tcBorders>
              <w:top w:val="single" w:sz="2" w:space="4" w:color="D6DEEA"/>
              <w:bottom w:val="single" w:sz="2" w:space="4" w:color="D6DEEA"/>
              <w:left w:val="single" w:sz="2" w:space="4" w:color="D6DEEA"/>
              <w:right w:val="single" w:sz="2" w:space="4" w:color="D6DEEA"/>
            </w:tcBorders>
          </w:tcPr>
          <w:p>
            <w:pPr>
              <w:spacing w:after="0"/>
              <w:jc w:val="center"/>
            </w:pPr>
            <w:r/>
            <w:r>
              <w:rPr>
                <w:rFonts w:ascii="Cambria" w:hAnsi="Cambria"/>
                <w:b/>
                <w:color w:val="FFFFFF"/>
                <w:sz w:val="34"/>
              </w:rPr>
              <w:t>1</w:t>
            </w:r>
          </w:p>
        </w:tc>
        <w:tc>
          <w:tcPr>
            <w:tcW w:type="dxa" w:w="8660"/>
            <w:shd w:val="clear" w:color="auto" w:fill="EAF6EE"/>
            <w:tcMar>
              <w:top w:w="70" w:type="dxa"/>
              <w:bottom w:w="70" w:type="dxa"/>
              <w:start w:w="130" w:type="dxa"/>
              <w:end w:w="130" w:type="dxa"/>
            </w:tcMar>
            <w:tcBorders>
              <w:top w:val="single" w:sz="2" w:space="4" w:color="D6DEEA"/>
              <w:bottom w:val="single" w:sz="2" w:space="4" w:color="D6DEEA"/>
              <w:left w:val="single" w:sz="2" w:space="4" w:color="D6DEEA"/>
              <w:right w:val="single" w:sz="2" w:space="4" w:color="D6DEEA"/>
            </w:tcBorders>
          </w:tcPr>
          <w:p>
            <w:pPr>
              <w:spacing w:after="40"/>
            </w:pPr>
            <w:r/>
            <w:r>
              <w:rPr>
                <w:rFonts w:ascii="Calibri" w:hAnsi="Calibri"/>
                <w:b/>
                <w:i w:val="0"/>
                <w:color w:val="16224A"/>
                <w:sz w:val="23"/>
              </w:rPr>
              <w:t>Today's internal capability can be tomorrow's business model — but only if it is built to be rented</w:t>
            </w:r>
          </w:p>
          <w:p>
            <w:pPr>
              <w:spacing w:before="0" w:after="0" w:line="274" w:lineRule="auto"/>
            </w:pPr>
            <w:r>
              <w:rPr>
                <w:rFonts w:ascii="Calibri" w:hAnsi="Calibri"/>
                <w:b w:val="0"/>
                <w:i w:val="0"/>
                <w:color w:val="20242B"/>
                <w:sz w:val="21"/>
              </w:rPr>
              <w:t>Warehousing, advertising, server infrastructure and now Amazon's own silicon all began as costs serving internal needs and were then opened as revenue sources: Trainium and Graviton passed a combined USD 10 billion annual run rate in FY2025. Infrastructure does not merely support the business model, it can become the business model — but only once the capability has been standardised, documented and made usable by someone outside the team that built it.</w:t>
            </w:r>
          </w:p>
        </w:tc>
      </w:tr>
    </w:tbl>
    <w:p>
      <w:pPr>
        <w:spacing w:after="40"/>
      </w:pPr>
    </w:p>
    <w:tbl>
      <w:tblPr>
        <w:tblW w:type="dxa" w:w="9300"/>
        <w:jc w:val="center"/>
        <w:tblLayout w:type="fixed"/>
        <w:tblLook w:firstColumn="1" w:firstRow="1" w:lastColumn="0" w:lastRow="0" w:noHBand="0" w:noVBand="1" w:val="04A0"/>
      </w:tblPr>
      <w:tblGrid>
        <w:gridCol w:w="640"/>
        <w:gridCol w:w="8660"/>
      </w:tblGrid>
      <w:tr>
        <w:tc>
          <w:tcPr>
            <w:tcW w:type="dxa" w:w="640"/>
            <w:shd w:val="clear" w:color="auto" w:fill="2E7D46"/>
            <w:tcMar>
              <w:top w:w="70" w:type="dxa"/>
              <w:bottom w:w="70" w:type="dxa"/>
              <w:start w:w="60" w:type="dxa"/>
              <w:end w:w="60" w:type="dxa"/>
            </w:tcMar>
            <w:tcBorders>
              <w:top w:val="single" w:sz="2" w:space="4" w:color="D6DEEA"/>
              <w:bottom w:val="single" w:sz="2" w:space="4" w:color="D6DEEA"/>
              <w:left w:val="single" w:sz="2" w:space="4" w:color="D6DEEA"/>
              <w:right w:val="single" w:sz="2" w:space="4" w:color="D6DEEA"/>
            </w:tcBorders>
          </w:tcPr>
          <w:p>
            <w:pPr>
              <w:spacing w:after="0"/>
              <w:jc w:val="center"/>
            </w:pPr>
            <w:r/>
            <w:r>
              <w:rPr>
                <w:rFonts w:ascii="Cambria" w:hAnsi="Cambria"/>
                <w:b/>
                <w:color w:val="FFFFFF"/>
                <w:sz w:val="34"/>
              </w:rPr>
              <w:t>2</w:t>
            </w:r>
          </w:p>
        </w:tc>
        <w:tc>
          <w:tcPr>
            <w:tcW w:type="dxa" w:w="8660"/>
            <w:shd w:val="clear" w:color="auto" w:fill="EAF6EE"/>
            <w:tcMar>
              <w:top w:w="70" w:type="dxa"/>
              <w:bottom w:w="70" w:type="dxa"/>
              <w:start w:w="130" w:type="dxa"/>
              <w:end w:w="130" w:type="dxa"/>
            </w:tcMar>
            <w:tcBorders>
              <w:top w:val="single" w:sz="2" w:space="4" w:color="D6DEEA"/>
              <w:bottom w:val="single" w:sz="2" w:space="4" w:color="D6DEEA"/>
              <w:left w:val="single" w:sz="2" w:space="4" w:color="D6DEEA"/>
              <w:right w:val="single" w:sz="2" w:space="4" w:color="D6DEEA"/>
            </w:tcBorders>
          </w:tcPr>
          <w:p>
            <w:pPr>
              <w:spacing w:after="40"/>
            </w:pPr>
            <w:r/>
            <w:r>
              <w:rPr>
                <w:rFonts w:ascii="Calibri" w:hAnsi="Calibri"/>
                <w:b/>
                <w:i w:val="0"/>
                <w:color w:val="16224A"/>
                <w:sz w:val="23"/>
              </w:rPr>
              <w:t>The largest revenue and the largest profit are usually not in the same place</w:t>
            </w:r>
          </w:p>
          <w:p>
            <w:pPr>
              <w:spacing w:before="0" w:after="0" w:line="274" w:lineRule="auto"/>
            </w:pPr>
            <w:r>
              <w:rPr>
                <w:rFonts w:ascii="Calibri" w:hAnsi="Calibri"/>
                <w:b w:val="0"/>
                <w:i w:val="0"/>
                <w:color w:val="20242B"/>
                <w:sz w:val="21"/>
              </w:rPr>
              <w:t>Looking at total revenue misreads the business. In FY2025 first-party retail was 37.6% of Amazon's revenue on a thin margin while AWS was 18.0% of revenue and 57% of operating income — the principle GMV ≠ Revenue ≠ Profit in Section 10, measured rather than asserted. The streams form a pipeline in which low-margin businesses are raw material for high-margin ones, which is also why a structural remedy is the regulatory instrument that would hurt most.</w:t>
            </w:r>
          </w:p>
        </w:tc>
      </w:tr>
    </w:tbl>
    <w:p>
      <w:pPr>
        <w:spacing w:after="40"/>
      </w:pPr>
    </w:p>
    <w:tbl>
      <w:tblPr>
        <w:tblW w:type="dxa" w:w="9300"/>
        <w:jc w:val="center"/>
        <w:tblLayout w:type="fixed"/>
        <w:tblLook w:firstColumn="1" w:firstRow="1" w:lastColumn="0" w:lastRow="0" w:noHBand="0" w:noVBand="1" w:val="04A0"/>
      </w:tblPr>
      <w:tblGrid>
        <w:gridCol w:w="640"/>
        <w:gridCol w:w="8660"/>
      </w:tblGrid>
      <w:tr>
        <w:tc>
          <w:tcPr>
            <w:tcW w:type="dxa" w:w="640"/>
            <w:shd w:val="clear" w:color="auto" w:fill="2E7D46"/>
            <w:tcMar>
              <w:top w:w="70" w:type="dxa"/>
              <w:bottom w:w="70" w:type="dxa"/>
              <w:start w:w="60" w:type="dxa"/>
              <w:end w:w="60" w:type="dxa"/>
            </w:tcMar>
            <w:tcBorders>
              <w:top w:val="single" w:sz="2" w:space="4" w:color="D6DEEA"/>
              <w:bottom w:val="single" w:sz="2" w:space="4" w:color="D6DEEA"/>
              <w:left w:val="single" w:sz="2" w:space="4" w:color="D6DEEA"/>
              <w:right w:val="single" w:sz="2" w:space="4" w:color="D6DEEA"/>
            </w:tcBorders>
          </w:tcPr>
          <w:p>
            <w:pPr>
              <w:spacing w:after="0"/>
              <w:jc w:val="center"/>
            </w:pPr>
            <w:r/>
            <w:r>
              <w:rPr>
                <w:rFonts w:ascii="Cambria" w:hAnsi="Cambria"/>
                <w:b/>
                <w:color w:val="FFFFFF"/>
                <w:sz w:val="34"/>
              </w:rPr>
              <w:t>3</w:t>
            </w:r>
          </w:p>
        </w:tc>
        <w:tc>
          <w:tcPr>
            <w:tcW w:type="dxa" w:w="8660"/>
            <w:shd w:val="clear" w:color="auto" w:fill="EAF6EE"/>
            <w:tcMar>
              <w:top w:w="70" w:type="dxa"/>
              <w:bottom w:w="70" w:type="dxa"/>
              <w:start w:w="130" w:type="dxa"/>
              <w:end w:w="130" w:type="dxa"/>
            </w:tcMar>
            <w:tcBorders>
              <w:top w:val="single" w:sz="2" w:space="4" w:color="D6DEEA"/>
              <w:bottom w:val="single" w:sz="2" w:space="4" w:color="D6DEEA"/>
              <w:left w:val="single" w:sz="2" w:space="4" w:color="D6DEEA"/>
              <w:right w:val="single" w:sz="2" w:space="4" w:color="D6DEEA"/>
            </w:tcBorders>
          </w:tcPr>
          <w:p>
            <w:pPr>
              <w:spacing w:after="40"/>
            </w:pPr>
            <w:r/>
            <w:r>
              <w:rPr>
                <w:rFonts w:ascii="Calibri" w:hAnsi="Calibri"/>
                <w:b/>
                <w:i w:val="0"/>
                <w:color w:val="16224A"/>
                <w:sz w:val="23"/>
              </w:rPr>
              <w:t>What a firm sells changes constantly; which parts of the journey it controls is what actually matters</w:t>
            </w:r>
          </w:p>
          <w:p>
            <w:pPr>
              <w:spacing w:before="0" w:after="0" w:line="274" w:lineRule="auto"/>
            </w:pPr>
            <w:r>
              <w:rPr>
                <w:rFonts w:ascii="Calibri" w:hAnsi="Calibri"/>
                <w:b w:val="0"/>
                <w:i w:val="0"/>
                <w:color w:val="20242B"/>
                <w:sz w:val="21"/>
              </w:rPr>
              <w:t>Durable advantage comes from what takes years to build: capital can be raised and technology bought, but behavioural data, delivery density and customer trust cannot. That is why leading platforms are hard to dislodge with promotions — and why the seven-question framework, not the product list, is the instrument for reading any e-commerce business. The corollary is a warning: at USD 131.8 billion of capital spending against USD 11.2 billion of free cash flow, control of the journey is being bought, not inherited.</w:t>
            </w:r>
          </w:p>
        </w:tc>
      </w:tr>
    </w:tbl>
    <w:p>
      <w:pPr>
        <w:spacing w:after="40"/>
      </w:pPr>
    </w:p>
    <w:p>
      <w:pPr>
        <w:spacing w:before="200" w:after="100"/>
        <w:shd w:val="clear" w:color="auto" w:fill="C0392B"/>
      </w:pPr>
      <w:r>
        <w:rPr>
          <w:rFonts w:ascii="Cambria" w:hAnsi="Cambria"/>
          <w:b/>
          <w:color w:val="FFFFFF"/>
          <w:sz w:val="24"/>
        </w:rPr>
        <w:t xml:space="preserve">  THREE DISCUSSION &amp; CRITIQUE QUESTIONS</w:t>
      </w:r>
    </w:p>
    <w:tbl>
      <w:tblPr>
        <w:tblW w:type="dxa" w:w="9300"/>
        <w:jc w:val="center"/>
        <w:tblLayout w:type="fixed"/>
        <w:tblLook w:firstColumn="1" w:firstRow="1" w:lastColumn="0" w:lastRow="0" w:noHBand="0" w:noVBand="1" w:val="04A0"/>
      </w:tblPr>
      <w:tblGrid>
        <w:gridCol w:w="9412"/>
      </w:tblGrid>
      <w:tr>
        <w:tc>
          <w:tcPr>
            <w:tcW w:type="dxa" w:w="9412"/>
            <w:shd w:val="clear" w:color="auto" w:fill="EAF1FB"/>
            <w:tcBorders>
              <w:top w:val="single" w:sz="6" w:space="4" w:color="1F4E79"/>
              <w:bottom w:val="single" w:sz="6" w:space="4" w:color="1F4E79"/>
              <w:right w:val="single" w:sz="6" w:space="4" w:color="1F4E79"/>
              <w:left w:val="single" w:sz="30" w:space="4" w:color="1F4E79"/>
            </w:tcBorders>
            <w:tcMar>
              <w:top w:w="80" w:type="dxa"/>
              <w:bottom w:w="80" w:type="dxa"/>
              <w:start w:w="140" w:type="dxa"/>
              <w:end w:w="140" w:type="dxa"/>
            </w:tcMar>
          </w:tcPr>
          <w:p>
            <w:pPr>
              <w:spacing w:after="60"/>
            </w:pPr>
            <w:r/>
            <w:r>
              <w:rPr>
                <w:rFonts w:ascii="Calibri" w:hAnsi="Calibri"/>
                <w:b/>
                <w:color w:val="1F4E79"/>
                <w:sz w:val="17"/>
                <w:spacing w:val="30"/>
              </w:rPr>
              <w:t>QUESTION 1  ·  LEVEL: HARD</w:t>
            </w:r>
          </w:p>
          <w:p>
            <w:pPr>
              <w:spacing w:before="0" w:after="80" w:line="274" w:lineRule="auto"/>
            </w:pPr>
            <w:r>
              <w:rPr>
                <w:rFonts w:ascii="Calibri" w:hAnsi="Calibri"/>
                <w:b/>
                <w:i w:val="0"/>
                <w:color w:val="16224A"/>
                <w:sz w:val="22"/>
              </w:rPr>
              <w:t>Explain, through specific mechanisms, why opening the platform to third-party sellers — even though it placed competitors on the same product page — increased the value of the whole system, and how it affects revenue, catalogue and risk differently. Use the FY2025 figures: third-party sellers supplied 61% of paid units, yet seller services were USD 172.2 billion of USD 716.9 billion of revenue. Under what conditions would the decision backfire, and what three measurable signals would show that beginning to happen?</w:t>
            </w:r>
          </w:p>
          <w:p>
            <w:pPr>
              <w:spacing w:after="0" w:line="264" w:lineRule="auto"/>
            </w:pPr>
            <w:r>
              <w:rPr>
                <w:rFonts w:ascii="Calibri" w:hAnsi="Calibri"/>
                <w:b/>
                <w:i/>
                <w:color w:val="1F4E79"/>
                <w:sz w:val="19"/>
              </w:rPr>
              <w:t xml:space="preserve">Analytical guidance (for instructors):  </w:t>
            </w:r>
            <w:r>
              <w:rPr>
                <w:rFonts w:ascii="Calibri" w:hAnsi="Calibri"/>
                <w:b w:val="0"/>
                <w:i/>
                <w:color w:val="3A4250"/>
                <w:sz w:val="19"/>
              </w:rPr>
              <w:t>A strong answer sets out the cross-side network effect, catalogue expansion without inventory capital, and the transfer of inventory risk to sellers; it should use the asymmetry between 61% of units and 24% of revenue to show that the decision raises catalogue breadth and profit quality without raising reported retail revenue. On backfiring it must identify that weak quality control brings counterfeits and fake reviews, the network effect turns negative and trust is eroded. Credit three signals: rising complaints and returns in new categories, more listings removed, falling conversion on crowded pages. Credit any answer noticing the same-side negative effect — sellers competing against each other is what makes advertising near-compulsory.</w:t>
            </w:r>
          </w:p>
          <w:p>
            <w:pPr>
              <w:spacing w:before="80"/>
            </w:pPr>
            <w:r>
              <w:rPr>
                <w:rFonts w:ascii="Calibri" w:hAnsi="Calibri"/>
                <w:i/>
                <w:color w:val="1F4E79"/>
                <w:sz w:val="18"/>
              </w:rPr>
              <w:t>CLO: CLO1   ·   Bloom: Analyze</w:t>
            </w:r>
          </w:p>
        </w:tc>
      </w:tr>
    </w:tbl>
    <w:p>
      <w:pPr>
        <w:spacing w:after="60"/>
      </w:pPr>
    </w:p>
    <w:tbl>
      <w:tblPr>
        <w:tblW w:type="dxa" w:w="9300"/>
        <w:jc w:val="center"/>
        <w:tblLayout w:type="fixed"/>
        <w:tblLook w:firstColumn="1" w:firstRow="1" w:lastColumn="0" w:lastRow="0" w:noHBand="0" w:noVBand="1" w:val="04A0"/>
      </w:tblPr>
      <w:tblGrid>
        <w:gridCol w:w="9412"/>
      </w:tblGrid>
      <w:tr>
        <w:tc>
          <w:tcPr>
            <w:tcW w:type="dxa" w:w="9412"/>
            <w:shd w:val="clear" w:color="auto" w:fill="FFF5E6"/>
            <w:tcBorders>
              <w:top w:val="single" w:sz="6" w:space="4" w:color="D98A00"/>
              <w:bottom w:val="single" w:sz="6" w:space="4" w:color="D98A00"/>
              <w:right w:val="single" w:sz="6" w:space="4" w:color="D98A00"/>
              <w:left w:val="single" w:sz="30" w:space="4" w:color="D98A00"/>
            </w:tcBorders>
            <w:tcMar>
              <w:top w:w="80" w:type="dxa"/>
              <w:bottom w:w="80" w:type="dxa"/>
              <w:start w:w="140" w:type="dxa"/>
              <w:end w:w="140" w:type="dxa"/>
            </w:tcMar>
          </w:tcPr>
          <w:p>
            <w:pPr>
              <w:spacing w:after="60"/>
            </w:pPr>
            <w:r/>
            <w:r>
              <w:rPr>
                <w:rFonts w:ascii="Calibri" w:hAnsi="Calibri"/>
                <w:b/>
                <w:color w:val="D98A00"/>
                <w:sz w:val="17"/>
                <w:spacing w:val="30"/>
              </w:rPr>
              <w:t>QUESTION 2  ·  LEVEL: VERY HARD</w:t>
            </w:r>
          </w:p>
          <w:p>
            <w:pPr>
              <w:spacing w:before="0" w:after="80" w:line="274" w:lineRule="auto"/>
            </w:pPr>
            <w:r>
              <w:rPr>
                <w:rFonts w:ascii="Calibri" w:hAnsi="Calibri"/>
                <w:b/>
                <w:i w:val="0"/>
                <w:color w:val="16224A"/>
                <w:sz w:val="22"/>
              </w:rPr>
              <w:t>Suppose AWS were separated into an independent company. Could retail and marketplace still sustain low prices and long-term infrastructure investment? Work with Tables CS.4 and CS.5: the remainder would hold about 82% of FY2025 revenue but only about 43% of operating income, an operating margin near 5.8%, and it would lose the segment that is currently funding a capital programme of roughly USD 200 billion for 2026. Who gains and who loses?</w:t>
            </w:r>
          </w:p>
          <w:p>
            <w:pPr>
              <w:spacing w:after="0" w:line="264" w:lineRule="auto"/>
            </w:pPr>
            <w:r>
              <w:rPr>
                <w:rFonts w:ascii="Calibri" w:hAnsi="Calibri"/>
                <w:b/>
                <w:i/>
                <w:color w:val="D98A00"/>
                <w:sz w:val="19"/>
              </w:rPr>
              <w:t xml:space="preserve">Analytical guidance (for instructors):  </w:t>
            </w:r>
            <w:r>
              <w:rPr>
                <w:rFonts w:ascii="Calibri" w:hAnsi="Calibri"/>
                <w:b w:val="0"/>
                <w:i/>
                <w:color w:val="3A4250"/>
                <w:sz w:val="19"/>
              </w:rPr>
              <w:t>The argument should cover cross-subsidy between segments; capital-market pressure when a thin-margin segment stands alone; the possible need to raise fees or make advertising compulsory; harm to consumers if prices rise. A strong answer notices that the separated retail entity would show an operating margin in the low single digits and face immediate pressure to grow advertising — so the first casualty of a break-up is the seller, the consumer only later. Award extra credit for observing that the separated AWS would be the more attractive asset, would face a much lower cost of capital and would have no reason to keep subsidising anything. Credit conditional conclusions.</w:t>
            </w:r>
          </w:p>
          <w:p>
            <w:pPr>
              <w:spacing w:before="80"/>
            </w:pPr>
            <w:r>
              <w:rPr>
                <w:rFonts w:ascii="Calibri" w:hAnsi="Calibri"/>
                <w:i/>
                <w:color w:val="D98A00"/>
                <w:sz w:val="18"/>
              </w:rPr>
              <w:t>CLO: CLO1, CLO2   ·   Bloom: Evaluate</w:t>
            </w:r>
          </w:p>
        </w:tc>
      </w:tr>
    </w:tbl>
    <w:p>
      <w:pPr>
        <w:spacing w:after="60"/>
      </w:pPr>
    </w:p>
    <w:tbl>
      <w:tblPr>
        <w:tblW w:type="dxa" w:w="9300"/>
        <w:jc w:val="center"/>
        <w:tblLayout w:type="fixed"/>
        <w:tblLook w:firstColumn="1" w:firstRow="1" w:lastColumn="0" w:lastRow="0" w:noHBand="0" w:noVBand="1" w:val="04A0"/>
      </w:tblPr>
      <w:tblGrid>
        <w:gridCol w:w="9412"/>
      </w:tblGrid>
      <w:tr>
        <w:tc>
          <w:tcPr>
            <w:tcW w:type="dxa" w:w="9412"/>
            <w:shd w:val="clear" w:color="auto" w:fill="F3ECF9"/>
            <w:tcBorders>
              <w:top w:val="single" w:sz="6" w:space="4" w:color="6D3B8E"/>
              <w:bottom w:val="single" w:sz="6" w:space="4" w:color="6D3B8E"/>
              <w:right w:val="single" w:sz="6" w:space="4" w:color="6D3B8E"/>
              <w:left w:val="single" w:sz="30" w:space="4" w:color="6D3B8E"/>
            </w:tcBorders>
            <w:tcMar>
              <w:top w:w="80" w:type="dxa"/>
              <w:bottom w:w="80" w:type="dxa"/>
              <w:start w:w="140" w:type="dxa"/>
              <w:end w:w="140" w:type="dxa"/>
            </w:tcMar>
          </w:tcPr>
          <w:p>
            <w:pPr>
              <w:spacing w:after="60"/>
            </w:pPr>
            <w:r/>
            <w:r>
              <w:rPr>
                <w:rFonts w:ascii="Calibri" w:hAnsi="Calibri"/>
                <w:b/>
                <w:color w:val="6D3B8E"/>
                <w:sz w:val="17"/>
                <w:spacing w:val="30"/>
              </w:rPr>
              <w:t>QUESTION 3  ·  LEVEL: MIND-BENDING</w:t>
            </w:r>
          </w:p>
          <w:p>
            <w:pPr>
              <w:spacing w:before="0" w:after="80" w:line="274" w:lineRule="auto"/>
            </w:pPr>
            <w:r>
              <w:rPr>
                <w:rFonts w:ascii="Calibri" w:hAnsi="Calibri"/>
                <w:b/>
                <w:i w:val="0"/>
                <w:color w:val="16224A"/>
                <w:sz w:val="22"/>
              </w:rPr>
              <w:t>If most future transactions are carried out by AI agents on behalf of people, how much of its advantage would a platform strong in interface, brand and consumer habit lose? Amazon is already building the displacement itself: Rufus reached more than 300 million customers in 2025 and became Alexa for Shopping in 2026. Which of Amazon's five activity groups survives that transition intact? Design a strategy allowing the platform to hold its position in a world where customers no longer see its interface, and state the ethical problems your design creates.</w:t>
            </w:r>
          </w:p>
          <w:p>
            <w:pPr>
              <w:spacing w:after="0" w:line="264" w:lineRule="auto"/>
            </w:pPr>
            <w:r>
              <w:rPr>
                <w:rFonts w:ascii="Calibri" w:hAnsi="Calibri"/>
                <w:b/>
                <w:i/>
                <w:color w:val="6D3B8E"/>
                <w:sz w:val="19"/>
              </w:rPr>
              <w:t xml:space="preserve">Analytical guidance (for instructors):  </w:t>
            </w:r>
            <w:r>
              <w:rPr>
                <w:rFonts w:ascii="Calibri" w:hAnsi="Calibri"/>
                <w:b w:val="0"/>
                <w:i/>
                <w:color w:val="3A4250"/>
                <w:sz w:val="19"/>
              </w:rPr>
              <w:t>There is no correct answer. Grade on reasoning: does the student see that advantage shifts from the interface to structured data, the delivery promise and the ability to be selected by an agent, and distinguish advantage based on habit (easily lost) from advantage based on infrastructure (hard to lose)? A strong answer sorts the five activity groups: logistics and cloud survive intact; retail and seller services in altered form; advertising, which sells position to a human eye, is the most exposed — and also the highest-margin. Credit answers identifying the contradiction in Amazon building its own agent, and the two central ethical problems: paying an agent to prefer one seller, and a platform that both operates the agent and sells the goods it selects.</w:t>
            </w:r>
          </w:p>
          <w:p>
            <w:pPr>
              <w:spacing w:before="80"/>
            </w:pPr>
            <w:r>
              <w:rPr>
                <w:rFonts w:ascii="Calibri" w:hAnsi="Calibri"/>
                <w:i/>
                <w:color w:val="6D3B8E"/>
                <w:sz w:val="18"/>
              </w:rPr>
              <w:t>CLO: CLO1, CLO4, CLO6   ·   Bloom: Create</w:t>
            </w:r>
          </w:p>
        </w:tc>
      </w:tr>
    </w:tbl>
    <w:p>
      <w:pPr>
        <w:spacing w:after="60"/>
      </w:pPr>
    </w:p>
    <w:p>
      <w:pPr>
        <w:spacing w:before="200" w:after="100"/>
        <w:shd w:val="clear" w:color="auto" w:fill="5A6472"/>
      </w:pPr>
      <w:r>
        <w:rPr>
          <w:rFonts w:ascii="Cambria" w:hAnsi="Cambria"/>
          <w:b/>
          <w:color w:val="FFFFFF"/>
          <w:sz w:val="24"/>
        </w:rPr>
        <w:t xml:space="preserve">  REFERENCES &amp; DATA SOURCES</w:t>
      </w:r>
    </w:p>
    <w:p>
      <w:pPr>
        <w:spacing w:after="40" w:line="252" w:lineRule="auto"/>
        <w:ind w:left="397" w:hanging="397"/>
      </w:pPr>
      <w:r>
        <w:rPr>
          <w:rFonts w:ascii="Calibri" w:hAnsi="Calibri"/>
          <w:b/>
          <w:color w:val="5A6472"/>
          <w:sz w:val="17"/>
        </w:rPr>
        <w:t xml:space="preserve">[1] </w:t>
      </w:r>
      <w:r>
        <w:rPr>
          <w:rFonts w:ascii="Calibri" w:hAnsi="Calibri"/>
          <w:b w:val="0"/>
          <w:i w:val="0"/>
          <w:color w:val="5A6472"/>
          <w:sz w:val="17"/>
        </w:rPr>
        <w:t xml:space="preserve">Amazon.com, Inc. (2026). </w:t>
      </w:r>
      <w:r>
        <w:rPr>
          <w:rFonts w:ascii="Calibri" w:hAnsi="Calibri"/>
          <w:b w:val="0"/>
          <w:i/>
          <w:color w:val="5A6472"/>
          <w:sz w:val="17"/>
        </w:rPr>
        <w:t>Q4 and Full Year 2025 Results</w:t>
      </w:r>
      <w:r>
        <w:rPr>
          <w:rFonts w:ascii="Calibri" w:hAnsi="Calibri"/>
          <w:b w:val="0"/>
          <w:i w:val="0"/>
          <w:color w:val="5A6472"/>
          <w:sz w:val="17"/>
        </w:rPr>
        <w:t xml:space="preserve">, Form 8-K Exhibit 99.1, 5 February 2026 — net sales USD 716.9bn, operating income USD 80.0bn, segment and disaggregated revenue, seller unit mix, shipping costs, capital expenditure; </w:t>
      </w:r>
      <w:r>
        <w:rPr>
          <w:rFonts w:ascii="Calibri" w:hAnsi="Calibri"/>
          <w:b w:val="0"/>
          <w:i/>
          <w:color w:val="5A6472"/>
          <w:sz w:val="17"/>
        </w:rPr>
        <w:t>Q2 2026 Results</w:t>
      </w:r>
      <w:r>
        <w:rPr>
          <w:rFonts w:ascii="Calibri" w:hAnsi="Calibri"/>
          <w:b w:val="0"/>
          <w:i w:val="0"/>
          <w:color w:val="5A6472"/>
          <w:sz w:val="17"/>
        </w:rPr>
        <w:t xml:space="preserve">, 30 July 2026 — AWS +37%, advertising +26%. Annual Reports on Form 10-K, FY2024–FY2025 (ir.aboutamazon.com). Bezos, J. (1997–2020). </w:t>
      </w:r>
      <w:r>
        <w:rPr>
          <w:rFonts w:ascii="Calibri" w:hAnsi="Calibri"/>
          <w:b w:val="0"/>
          <w:i/>
          <w:color w:val="5A6472"/>
          <w:sz w:val="17"/>
        </w:rPr>
        <w:t>Letters to Shareholders</w:t>
      </w:r>
      <w:r>
        <w:rPr>
          <w:rFonts w:ascii="Calibri" w:hAnsi="Calibri"/>
          <w:b w:val="0"/>
          <w:i w:val="0"/>
          <w:color w:val="5A6472"/>
          <w:sz w:val="17"/>
        </w:rPr>
        <w:t>.</w:t>
      </w:r>
    </w:p>
    <w:p>
      <w:pPr>
        <w:spacing w:after="40" w:line="252" w:lineRule="auto"/>
        <w:ind w:left="397" w:hanging="397"/>
      </w:pPr>
      <w:r>
        <w:rPr>
          <w:rFonts w:ascii="Calibri" w:hAnsi="Calibri"/>
          <w:b/>
          <w:color w:val="5A6472"/>
          <w:sz w:val="17"/>
        </w:rPr>
        <w:t xml:space="preserve">[2] </w:t>
      </w:r>
      <w:r>
        <w:rPr>
          <w:rFonts w:ascii="Calibri" w:hAnsi="Calibri"/>
          <w:b w:val="0"/>
          <w:i w:val="0"/>
          <w:color w:val="5A6472"/>
          <w:sz w:val="17"/>
        </w:rPr>
        <w:t>US Federal Trade Commission (2023) — monopolisation complaint, FTC and 18 state attorneys general, trial scheduled 29 March 2027; FTC (25 September 2025) — USD 2.5bn settlement of the Prime enrolment case (USD 1bn penalty, USD 1.5bn redress). European Commission — commitments on seller data, Buy Box and Prime access, IP/22/7777, 20 December 2022; DMA gatekeeper designation, September 2023; preliminary designation of AWS for cloud, June 2026.</w:t>
      </w:r>
    </w:p>
    <w:p>
      <w:pPr>
        <w:spacing w:after="40" w:line="252" w:lineRule="auto"/>
        <w:ind w:left="397" w:hanging="397"/>
      </w:pPr>
      <w:r>
        <w:rPr>
          <w:rFonts w:ascii="Calibri" w:hAnsi="Calibri"/>
          <w:b/>
          <w:color w:val="5A6472"/>
          <w:sz w:val="17"/>
        </w:rPr>
        <w:t xml:space="preserve">[3] </w:t>
      </w:r>
      <w:r>
        <w:rPr>
          <w:rFonts w:ascii="Calibri" w:hAnsi="Calibri"/>
          <w:b w:val="0"/>
          <w:i w:val="0"/>
          <w:color w:val="5A6472"/>
          <w:sz w:val="17"/>
        </w:rPr>
        <w:t xml:space="preserve">Parker, G., Van Alstyne, M. &amp; Choudary, S. P. (2016). </w:t>
      </w:r>
      <w:r>
        <w:rPr>
          <w:rFonts w:ascii="Calibri" w:hAnsi="Calibri"/>
          <w:b w:val="0"/>
          <w:i/>
          <w:color w:val="5A6472"/>
          <w:sz w:val="17"/>
        </w:rPr>
        <w:t>Platform Revolution</w:t>
      </w:r>
      <w:r>
        <w:rPr>
          <w:rFonts w:ascii="Calibri" w:hAnsi="Calibri"/>
          <w:b w:val="0"/>
          <w:i w:val="0"/>
          <w:color w:val="5A6472"/>
          <w:sz w:val="17"/>
        </w:rPr>
        <w:t xml:space="preserve">. W. W. Norton; Laudon, K. C. &amp; Traver, C. G. (2023). </w:t>
      </w:r>
      <w:r>
        <w:rPr>
          <w:rFonts w:ascii="Calibri" w:hAnsi="Calibri"/>
          <w:b w:val="0"/>
          <w:i/>
          <w:color w:val="5A6472"/>
          <w:sz w:val="17"/>
        </w:rPr>
        <w:t>E-commerce</w:t>
      </w:r>
      <w:r>
        <w:rPr>
          <w:rFonts w:ascii="Calibri" w:hAnsi="Calibri"/>
          <w:b w:val="0"/>
          <w:i w:val="0"/>
          <w:color w:val="5A6472"/>
          <w:sz w:val="17"/>
        </w:rPr>
        <w:t xml:space="preserve"> (17th ed.). Pearson. TechCrunch, GeekWire (19 March 2012) — Kiva Systems acquired for USD 775 million in cash.</w:t>
      </w:r>
    </w:p>
    <w:p>
      <w:pPr>
        <w:spacing w:after="40" w:line="252" w:lineRule="auto"/>
        <w:ind w:left="397" w:hanging="397"/>
      </w:pPr>
      <w:r>
        <w:rPr>
          <w:rFonts w:ascii="Calibri" w:hAnsi="Calibri"/>
          <w:b/>
          <w:color w:val="5A6472"/>
          <w:sz w:val="17"/>
        </w:rPr>
        <w:t xml:space="preserve">[4] </w:t>
      </w:r>
      <w:r>
        <w:rPr>
          <w:rFonts w:ascii="Calibri" w:hAnsi="Calibri"/>
          <w:b w:val="0"/>
          <w:i w:val="0"/>
          <w:color w:val="5A6472"/>
          <w:sz w:val="17"/>
        </w:rPr>
        <w:t>OECD (2025–2026) — guidance on e-commerce, AI-assisted transactions and agentic AI. Law on E-commerce No. 122/2025/QH15 (10 December 2025) and Decree 248/2026/ND-CP (30 June 2026), in force from 1 July 2026, with electronic identity verification of sellers and livestream sellers from 1 January 2027 (vanban.chinhphu.vn). Ministry of Industry and Trade (moit.gov.vn) — the National Competition Commission's May 2026 request that Shopee review new seller fees; Amazon Global Selling Vietnam report to 31 July 2025.</w:t>
      </w:r>
    </w:p>
    <w:p>
      <w:pPr>
        <w:spacing w:after="40" w:line="252" w:lineRule="auto"/>
        <w:ind w:left="397" w:hanging="397"/>
      </w:pPr>
      <w:r>
        <w:rPr>
          <w:rFonts w:ascii="Calibri" w:hAnsi="Calibri"/>
          <w:b/>
          <w:color w:val="5A6472"/>
          <w:sz w:val="17"/>
        </w:rPr>
        <w:t xml:space="preserve">[5] </w:t>
      </w:r>
      <w:r>
        <w:rPr>
          <w:rFonts w:ascii="Calibri" w:hAnsi="Calibri"/>
          <w:b/>
          <w:i w:val="0"/>
          <w:color w:val="5A6472"/>
          <w:sz w:val="17"/>
        </w:rPr>
        <w:t>Data vintage.</w:t>
      </w:r>
      <w:r>
        <w:rPr>
          <w:rFonts w:ascii="Calibri" w:hAnsi="Calibri"/>
          <w:b w:val="0"/>
          <w:i w:val="0"/>
          <w:color w:val="5A6472"/>
          <w:sz w:val="17"/>
        </w:rPr>
        <w:t xml:space="preserve"> Company figures were verified against published results as at August 2026, the most recent being the quarter ended 30 June 2026. Prime membership, Buy Box share, share of US retail e-commerce (about 40%, eMarketer) and global advertising share are third-party estimates, not disclosures, and should be re-checked before citing.</w:t>
      </w:r>
    </w:p>
    <w:tbl>
      <w:tblPr>
        <w:tblW w:type="dxa" w:w="9300"/>
        <w:jc w:val="center"/>
        <w:tblLayout w:type="fixed"/>
        <w:tblLook w:firstColumn="1" w:firstRow="1" w:lastColumn="0" w:lastRow="0" w:noHBand="0" w:noVBand="1" w:val="04A0"/>
      </w:tblPr>
      <w:tblGrid>
        <w:gridCol w:w="9412"/>
      </w:tblGrid>
      <w:tr>
        <w:tc>
          <w:tcPr>
            <w:tcW w:type="dxa" w:w="9412"/>
            <w:shd w:val="clear" w:color="auto" w:fill="16224A"/>
            <w:tcBorders>
              <w:top w:val="single" w:sz="18" w:space="4" w:color="D98A00"/>
              <w:bottom w:val="single" w:sz="18" w:space="4" w:color="D98A00"/>
              <w:right w:val="single" w:sz="6" w:space="4" w:color="D98A00"/>
              <w:left w:val="single" w:sz="6" w:space="4" w:color="D98A00"/>
            </w:tcBorders>
            <w:tcMar>
              <w:top w:w="80" w:type="dxa"/>
              <w:bottom w:w="80" w:type="dxa"/>
              <w:start w:w="140" w:type="dxa"/>
              <w:end w:w="140" w:type="dxa"/>
            </w:tcMar>
            <w:tcMar>
              <w:top w:w="190" w:type="dxa"/>
              <w:bottom w:w="190" w:type="dxa"/>
              <w:start w:w="260" w:type="dxa"/>
              <w:end w:w="260" w:type="dxa"/>
            </w:tcMar>
          </w:tcPr>
          <w:p>
            <w:pPr>
              <w:spacing w:after="160"/>
              <w:jc w:val="center"/>
            </w:pPr>
            <w:r/>
            <w:r>
              <w:rPr>
                <w:rFonts w:ascii="Calibri" w:hAnsi="Calibri"/>
                <w:b/>
                <w:color w:val="D98A00"/>
                <w:sz w:val="17"/>
                <w:spacing w:val="40"/>
              </w:rPr>
              <w:t>CLOSING THOUGHT</w:t>
            </w:r>
          </w:p>
          <w:p>
            <w:pPr>
              <w:spacing w:after="0" w:line="300" w:lineRule="auto"/>
              <w:jc w:val="center"/>
            </w:pPr>
            <w:r>
              <w:rPr>
                <w:rFonts w:ascii="Cambria" w:hAnsi="Cambria"/>
                <w:b/>
                <w:i/>
                <w:color w:val="FFFFFF"/>
                <w:sz w:val="30"/>
              </w:rPr>
              <w:t>Amazon did not become unavoidable by selling more things. It became the road on which other people's things travel.</w:t>
            </w:r>
          </w:p>
          <w:p>
            <w:pPr>
              <w:spacing w:before="160" w:after="0"/>
              <w:jc w:val="center"/>
            </w:pPr>
            <w:r>
              <w:rPr>
                <w:rFonts w:ascii="Calibri" w:hAnsi="Calibri"/>
                <w:b w:val="0"/>
                <w:i/>
                <w:color w:val="C7D3EA"/>
                <w:sz w:val="21"/>
              </w:rPr>
              <w:t>Every capability a firm builds for itself hides one question: who else would pay to use this?</w:t>
            </w:r>
          </w:p>
        </w:tc>
      </w:tr>
    </w:tbl>
    <w:p>
      <w:pPr>
        <w:spacing w:after="80"/>
      </w:pPr>
    </w:p>
    <w:sectPr w:rsidR="00FC693F" w:rsidRPr="0006063C" w:rsidSect="00034616">
      <w:headerReference w:type="default" r:id="rId9"/>
      <w:footerReference w:type="default" r:id="rId10"/>
      <w:pgSz w:w="11906" w:h="16838"/>
      <w:pgMar w:top="1134" w:right="1247" w:bottom="1077"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472"/>
        <w:sz w:val="16"/>
      </w:rPr>
    </w:r>
    <w:r>
      <w:rPr>
        <w:rFonts w:ascii="Calibri" w:hAnsi="Calibri"/>
        <w:color w:val="5A6472"/>
        <w:sz w:val="16"/>
      </w:rPr>
      <w:t xml:space="preserve">E-COMMERCE 2026 TEXTBOOK · SBI PROGRAMME     |     </w:t>
    </w:r>
    <w:r>
      <w:rPr>
        <w:rFonts w:ascii="Calibri" w:hAnsi="Calibri"/>
        <w:color w:val="5A6472"/>
        <w:sz w:val="16"/>
      </w:rPr>
      <w:fldSimple w:instr=" PAGE ">
        <w:t>1</w:t>
      </w:fldSimpl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3" w:space="4" w:color="D6DEEA"/>
      </w:pBdr>
    </w:pPr>
    <w:r/>
    <w:r>
      <w:rPr>
        <w:rFonts w:ascii="Calibri" w:hAnsi="Calibri"/>
        <w:color w:val="5A6472"/>
        <w:sz w:val="16"/>
      </w:rPr>
      <w:t>Case Study — AMAZON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