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DA" w:rsidRPr="005763C4"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Postgraduate Diploma in Child Critical Care Nursing</w:t>
      </w:r>
    </w:p>
    <w:p w:rsidR="00F145DA" w:rsidRPr="005763C4" w:rsidRDefault="00F145DA" w:rsidP="00F145DA">
      <w:pPr>
        <w:spacing w:after="0" w:line="240" w:lineRule="auto"/>
        <w:rPr>
          <w:rFonts w:ascii="Times New Roman" w:eastAsia="Times New Roman" w:hAnsi="Times New Roman" w:cs="Times New Roman"/>
          <w:sz w:val="20"/>
          <w:szCs w:val="20"/>
          <w:lang w:eastAsia="en-GB"/>
        </w:rPr>
      </w:pPr>
      <w:r w:rsidRPr="003058A1">
        <w:rPr>
          <w:rFonts w:ascii="Times New Roman" w:eastAsia="Times New Roman" w:hAnsi="Times New Roman" w:cs="Times New Roman"/>
          <w:sz w:val="20"/>
          <w:szCs w:val="20"/>
          <w:lang w:eastAsia="en-GB"/>
        </w:rPr>
        <w:t xml:space="preserve">Information is required on the assessment is to test theoretical outcomes. Two modules are practical and for that component, a clinical examination has been specified. In addition, the assessment of research has been included in the strategy but in the programme design, there was no research module. The acronym MCQ has not been explained. According to the application, the postgraduate diploma leads to registration at SANC. The implication is a prescribed number of </w:t>
      </w:r>
      <w:proofErr w:type="gramStart"/>
      <w:r w:rsidRPr="003058A1">
        <w:rPr>
          <w:rFonts w:ascii="Times New Roman" w:eastAsia="Times New Roman" w:hAnsi="Times New Roman" w:cs="Times New Roman"/>
          <w:sz w:val="20"/>
          <w:szCs w:val="20"/>
          <w:lang w:eastAsia="en-GB"/>
        </w:rPr>
        <w:t>hour</w:t>
      </w:r>
      <w:proofErr w:type="gramEnd"/>
      <w:r w:rsidRPr="003058A1">
        <w:rPr>
          <w:rFonts w:ascii="Times New Roman" w:eastAsia="Times New Roman" w:hAnsi="Times New Roman" w:cs="Times New Roman"/>
          <w:sz w:val="20"/>
          <w:szCs w:val="20"/>
          <w:lang w:eastAsia="en-GB"/>
        </w:rPr>
        <w:t xml:space="preserve"> of work-based WIL but the table only indicates non-work-based WIL. The non-work-based WIL constitutes 60% of learning time which is not logical for a clinical nursing programme. Information is required. The assessment strategy needs to be improved as the theoretical </w:t>
      </w:r>
      <w:proofErr w:type="gramStart"/>
      <w:r w:rsidRPr="003058A1">
        <w:rPr>
          <w:rFonts w:ascii="Times New Roman" w:eastAsia="Times New Roman" w:hAnsi="Times New Roman" w:cs="Times New Roman"/>
          <w:sz w:val="20"/>
          <w:szCs w:val="20"/>
          <w:lang w:eastAsia="en-GB"/>
        </w:rPr>
        <w:t>modules appears</w:t>
      </w:r>
      <w:proofErr w:type="gramEnd"/>
      <w:r w:rsidRPr="003058A1">
        <w:rPr>
          <w:rFonts w:ascii="Times New Roman" w:eastAsia="Times New Roman" w:hAnsi="Times New Roman" w:cs="Times New Roman"/>
          <w:sz w:val="20"/>
          <w:szCs w:val="20"/>
          <w:lang w:eastAsia="en-GB"/>
        </w:rPr>
        <w:t xml:space="preserve"> to be inappropriately assessed. The non-work-based WIL constituting 60% of the learning time requires further clarification.</w:t>
      </w:r>
    </w:p>
    <w:p w:rsidR="00F145DA" w:rsidRPr="005763C4" w:rsidRDefault="00F145DA" w:rsidP="00F145DA">
      <w:pPr>
        <w:spacing w:after="0" w:line="240" w:lineRule="auto"/>
        <w:rPr>
          <w:rFonts w:ascii="Times New Roman" w:eastAsia="Times New Roman" w:hAnsi="Times New Roman" w:cs="Times New Roman"/>
          <w:sz w:val="20"/>
          <w:szCs w:val="20"/>
          <w:lang w:eastAsia="en-GB"/>
        </w:rPr>
      </w:pPr>
    </w:p>
    <w:p w:rsidR="00F145DA" w:rsidRPr="005763C4" w:rsidRDefault="00F145DA" w:rsidP="00F145DA">
      <w:pPr>
        <w:spacing w:after="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F145DA" w:rsidRPr="005763C4" w:rsidRDefault="00F145DA" w:rsidP="00F145DA">
      <w:pPr>
        <w:spacing w:after="0" w:line="240" w:lineRule="auto"/>
        <w:rPr>
          <w:rFonts w:ascii="Times New Roman" w:eastAsia="Times New Roman" w:hAnsi="Times New Roman" w:cs="Times New Roman"/>
          <w:sz w:val="20"/>
          <w:szCs w:val="20"/>
          <w:lang w:eastAsia="en-GB"/>
        </w:rPr>
      </w:pPr>
    </w:p>
    <w:p w:rsidR="00F145DA" w:rsidRPr="00D1708A" w:rsidRDefault="00F145DA" w:rsidP="00F145DA">
      <w:pPr>
        <w:spacing w:after="0" w:line="240" w:lineRule="auto"/>
        <w:rPr>
          <w:rFonts w:ascii="Times New Roman" w:eastAsia="Times New Roman" w:hAnsi="Times New Roman" w:cs="Times New Roman"/>
          <w:sz w:val="20"/>
          <w:szCs w:val="20"/>
          <w:lang w:eastAsia="en-GB"/>
        </w:rPr>
      </w:pPr>
      <w:proofErr w:type="gramStart"/>
      <w:r w:rsidRPr="00D1708A">
        <w:rPr>
          <w:rFonts w:ascii="Times New Roman" w:eastAsia="Times New Roman" w:hAnsi="Times New Roman" w:cs="Times New Roman"/>
          <w:sz w:val="20"/>
          <w:szCs w:val="20"/>
          <w:lang w:eastAsia="en-GB"/>
        </w:rPr>
        <w:t>Regarding the assessment of theoretical outcomes.</w:t>
      </w:r>
      <w:proofErr w:type="gramEnd"/>
      <w:r w:rsidRPr="00D1708A">
        <w:rPr>
          <w:rFonts w:ascii="Times New Roman" w:eastAsia="Times New Roman" w:hAnsi="Times New Roman" w:cs="Times New Roman"/>
          <w:sz w:val="20"/>
          <w:szCs w:val="20"/>
          <w:lang w:eastAsia="en-GB"/>
        </w:rPr>
        <w:t xml:space="preserve">  There are two assessment components in the clinical practice A and B modules. Students need to compile a portfolio of 13 cases designed to cover major conditions at each level of care. These are written cases and include an oral assessment. The second is a family study of a child with illness who is hospitalised, where students look at the impact of a child’s illness, how to manage the illness, and prevention. Specific to the clinical practice B module is the formal presentation of patient in hospital including anatomy, physiology, pathophysiology, diagnosis, tests, medication, and nursing care.   </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Regarding the assessment of research, the qualification has been </w:t>
      </w:r>
      <w:proofErr w:type="spellStart"/>
      <w:r w:rsidRPr="00D1708A">
        <w:rPr>
          <w:rFonts w:ascii="Times New Roman" w:eastAsia="Times New Roman" w:hAnsi="Times New Roman" w:cs="Times New Roman"/>
          <w:sz w:val="20"/>
          <w:szCs w:val="20"/>
          <w:lang w:eastAsia="en-GB"/>
        </w:rPr>
        <w:t>recurriculated</w:t>
      </w:r>
      <w:proofErr w:type="spellEnd"/>
      <w:r w:rsidRPr="00D1708A">
        <w:rPr>
          <w:rFonts w:ascii="Times New Roman" w:eastAsia="Times New Roman" w:hAnsi="Times New Roman" w:cs="Times New Roman"/>
          <w:sz w:val="20"/>
          <w:szCs w:val="20"/>
          <w:lang w:eastAsia="en-GB"/>
        </w:rPr>
        <w:t xml:space="preserve">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The fundamental research knowledge/literacy that is taught in Professional Development is assessed in an MCQ (Multiple Choice </w:t>
      </w:r>
      <w:proofErr w:type="gramStart"/>
      <w:r w:rsidRPr="00D1708A">
        <w:rPr>
          <w:rFonts w:ascii="Times New Roman" w:eastAsia="Times New Roman" w:hAnsi="Times New Roman" w:cs="Times New Roman"/>
          <w:sz w:val="20"/>
          <w:szCs w:val="20"/>
          <w:lang w:eastAsia="en-GB"/>
        </w:rPr>
        <w:t>Questionnaire</w:t>
      </w:r>
      <w:proofErr w:type="gramEnd"/>
      <w:r w:rsidRPr="00D1708A">
        <w:rPr>
          <w:rFonts w:ascii="Times New Roman" w:eastAsia="Times New Roman" w:hAnsi="Times New Roman" w:cs="Times New Roman"/>
          <w:sz w:val="20"/>
          <w:szCs w:val="20"/>
          <w:lang w:eastAsia="en-GB"/>
        </w:rPr>
        <w:t xml:space="preserve"> as a formative assessment and the application of the skills is utilised and tested in the clinical courses. An example of this is where students are required to use the literature and their own assessments to present on the aetiology, pathophysiology and nursing care of a critically ill child with a specific condition (as indicated in the original application for accreditation). All health care practitioners are expected to practice evidence-based practice, within which research literacy is embedded and is therefore developed at this level of study.  </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The acronym MCQ is the acronym for multiple choice questions. Students are for example, assessed on research competencies via the following question: In quantitative research, which sampling method would be most appropriate to obtain a representative sample?</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Purposive sampling</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Convenience sampling</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Random sampling</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Snowball sampling</w:t>
      </w:r>
    </w:p>
    <w:p w:rsidR="00F145DA" w:rsidRPr="00D1708A" w:rsidRDefault="00F145DA" w:rsidP="00F145DA">
      <w:pPr>
        <w:spacing w:after="0" w:line="240" w:lineRule="auto"/>
        <w:rPr>
          <w:rFonts w:ascii="Times New Roman" w:eastAsia="Times New Roman" w:hAnsi="Times New Roman" w:cs="Times New Roman"/>
          <w:sz w:val="20"/>
          <w:szCs w:val="20"/>
          <w:lang w:eastAsia="en-GB"/>
        </w:rPr>
      </w:pPr>
    </w:p>
    <w:p w:rsidR="00F145DA" w:rsidRPr="00D1708A" w:rsidRDefault="00F145DA" w:rsidP="00F145DA">
      <w:pPr>
        <w:pBdr>
          <w:bottom w:val="single" w:sz="6" w:space="1" w:color="auto"/>
        </w:pBd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Regarding the </w:t>
      </w:r>
      <w:proofErr w:type="spellStart"/>
      <w:r w:rsidRPr="00D1708A">
        <w:rPr>
          <w:rFonts w:ascii="Times New Roman" w:eastAsia="Times New Roman" w:hAnsi="Times New Roman" w:cs="Times New Roman"/>
          <w:sz w:val="20"/>
          <w:szCs w:val="20"/>
          <w:lang w:eastAsia="en-GB"/>
        </w:rPr>
        <w:t>WiL</w:t>
      </w:r>
      <w:proofErr w:type="spellEnd"/>
      <w:r w:rsidRPr="00D1708A">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 </w:t>
      </w:r>
    </w:p>
    <w:p w:rsidR="00A27BD3" w:rsidRDefault="00F145DA">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DA"/>
    <w:rsid w:val="00073DFF"/>
    <w:rsid w:val="00287E4A"/>
    <w:rsid w:val="00F14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773</Words>
  <Characters>4411</Characters>
  <Application>Microsoft Office Word</Application>
  <DocSecurity>0</DocSecurity>
  <Lines>36</Lines>
  <Paragraphs>10</Paragraphs>
  <ScaleCrop>false</ScaleCrop>
  <Company>University of Cape Town</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2015-04-28T09:41:00Z</dcterms:created>
  <dcterms:modified xsi:type="dcterms:W3CDTF">2015-04-28T09:41:00Z</dcterms:modified>
</cp:coreProperties>
</file>