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010" w:rsidRDefault="008A4010" w:rsidP="008A4010">
      <w:pPr>
        <w:spacing w:after="0" w:line="240" w:lineRule="auto"/>
        <w:rPr>
          <w:rFonts w:ascii="Times New Roman" w:eastAsia="Times New Roman" w:hAnsi="Times New Roman" w:cs="Times New Roman"/>
          <w:sz w:val="20"/>
          <w:szCs w:val="20"/>
          <w:lang w:eastAsia="en-GB"/>
        </w:rPr>
      </w:pPr>
      <w:r w:rsidRPr="00737BBA">
        <w:rPr>
          <w:rFonts w:ascii="Times New Roman" w:eastAsia="Times New Roman" w:hAnsi="Times New Roman" w:cs="Times New Roman"/>
          <w:sz w:val="20"/>
          <w:szCs w:val="20"/>
          <w:lang w:eastAsia="en-GB"/>
        </w:rPr>
        <w:t>Postgraduate Diploma in Diabetes Mellitus Nursing and Education</w:t>
      </w:r>
    </w:p>
    <w:p w:rsidR="008A4010" w:rsidRPr="005763C4" w:rsidRDefault="008A4010" w:rsidP="008A4010">
      <w:pPr>
        <w:spacing w:after="0" w:line="240" w:lineRule="auto"/>
        <w:rPr>
          <w:rFonts w:ascii="Times New Roman" w:eastAsia="Times New Roman" w:hAnsi="Times New Roman" w:cs="Times New Roman"/>
          <w:sz w:val="20"/>
          <w:szCs w:val="20"/>
          <w:lang w:eastAsia="en-GB"/>
        </w:rPr>
      </w:pPr>
      <w:r w:rsidRPr="005763C4">
        <w:rPr>
          <w:rFonts w:ascii="Times New Roman" w:eastAsia="Times New Roman" w:hAnsi="Times New Roman" w:cs="Times New Roman"/>
          <w:sz w:val="20"/>
          <w:szCs w:val="20"/>
          <w:lang w:eastAsia="en-GB"/>
        </w:rPr>
        <w:t>The main question revolves around the WIL planned for the programme. The proportion of credits confirm the clinical basis of the programme and it is therefore asked why no work-based WIL. More information is required. More information is also required regarding how NQF Level 8 was achieved with no change in the programme.</w:t>
      </w:r>
    </w:p>
    <w:p w:rsidR="008A4010" w:rsidRPr="005763C4" w:rsidRDefault="008A4010" w:rsidP="008A4010">
      <w:pPr>
        <w:spacing w:after="240" w:line="240" w:lineRule="auto"/>
        <w:rPr>
          <w:rFonts w:ascii="Times New Roman" w:eastAsia="Times New Roman" w:hAnsi="Times New Roman" w:cs="Times New Roman"/>
          <w:sz w:val="20"/>
          <w:szCs w:val="20"/>
          <w:lang w:eastAsia="en-GB"/>
        </w:rPr>
      </w:pPr>
    </w:p>
    <w:p w:rsidR="008A4010" w:rsidRPr="005763C4" w:rsidRDefault="008A4010" w:rsidP="008A4010">
      <w:pPr>
        <w:spacing w:after="240" w:line="240" w:lineRule="auto"/>
        <w:rPr>
          <w:rFonts w:ascii="Times New Roman" w:eastAsia="Times New Roman" w:hAnsi="Times New Roman" w:cs="Times New Roman"/>
          <w:sz w:val="20"/>
          <w:szCs w:val="20"/>
          <w:lang w:eastAsia="en-GB"/>
        </w:rPr>
      </w:pPr>
      <w:r w:rsidRPr="005763C4">
        <w:rPr>
          <w:rFonts w:ascii="Times New Roman" w:eastAsia="Times New Roman" w:hAnsi="Times New Roman" w:cs="Times New Roman"/>
          <w:sz w:val="20"/>
          <w:szCs w:val="20"/>
          <w:lang w:eastAsia="en-GB"/>
        </w:rPr>
        <w:t>UCT response:</w:t>
      </w:r>
    </w:p>
    <w:p w:rsidR="008A4010" w:rsidRPr="005763C4" w:rsidRDefault="008A4010" w:rsidP="008A4010">
      <w:pPr>
        <w:pStyle w:val="Default"/>
        <w:rPr>
          <w:color w:val="auto"/>
          <w:sz w:val="20"/>
          <w:szCs w:val="20"/>
        </w:rPr>
      </w:pPr>
      <w:r w:rsidRPr="005763C4">
        <w:rPr>
          <w:rFonts w:eastAsia="Times New Roman"/>
          <w:color w:val="auto"/>
          <w:sz w:val="20"/>
          <w:szCs w:val="20"/>
          <w:lang w:eastAsia="en-GB"/>
        </w:rPr>
        <w:t>A</w:t>
      </w:r>
      <w:r w:rsidRPr="00907D91">
        <w:rPr>
          <w:rFonts w:eastAsia="Times New Roman"/>
          <w:color w:val="auto"/>
          <w:sz w:val="20"/>
          <w:szCs w:val="20"/>
          <w:lang w:eastAsia="en-GB"/>
        </w:rPr>
        <w:t xml:space="preserve">s per the DHET definition, we have drawn a distinction between practical learning that is integrally linked to the formal tuition process as opposed to workplace based learning that takes place after the formal instruction (WIL as per DHET definition). The HEQSF definition of WIL covers both forms. In this qualification, all practical/experiential learning takes place within the duration of the qualification.   </w:t>
      </w:r>
      <w:r w:rsidRPr="005763C4">
        <w:rPr>
          <w:rFonts w:eastAsia="Times New Roman"/>
          <w:color w:val="auto"/>
          <w:sz w:val="20"/>
          <w:szCs w:val="20"/>
          <w:lang w:eastAsia="en-GB"/>
        </w:rPr>
        <w:t xml:space="preserve">During the </w:t>
      </w:r>
      <w:r w:rsidRPr="00907D91">
        <w:rPr>
          <w:rFonts w:eastAsia="Times New Roman"/>
          <w:color w:val="auto"/>
          <w:sz w:val="20"/>
          <w:szCs w:val="20"/>
          <w:lang w:eastAsia="en-GB"/>
        </w:rPr>
        <w:t>academic year</w:t>
      </w:r>
      <w:r w:rsidRPr="005763C4">
        <w:rPr>
          <w:rFonts w:eastAsia="Times New Roman"/>
          <w:color w:val="auto"/>
          <w:sz w:val="20"/>
          <w:szCs w:val="20"/>
          <w:lang w:eastAsia="en-GB"/>
        </w:rPr>
        <w:t xml:space="preserve">, </w:t>
      </w:r>
      <w:r w:rsidRPr="00907D91">
        <w:rPr>
          <w:rFonts w:eastAsia="Times New Roman"/>
          <w:color w:val="auto"/>
          <w:sz w:val="20"/>
          <w:szCs w:val="20"/>
          <w:lang w:eastAsia="en-GB"/>
        </w:rPr>
        <w:t>in the theoreti</w:t>
      </w:r>
      <w:r w:rsidRPr="005763C4">
        <w:rPr>
          <w:rFonts w:eastAsia="Times New Roman"/>
          <w:color w:val="auto"/>
          <w:sz w:val="20"/>
          <w:szCs w:val="20"/>
          <w:lang w:eastAsia="en-GB"/>
        </w:rPr>
        <w:t>c</w:t>
      </w:r>
      <w:r w:rsidRPr="00907D91">
        <w:rPr>
          <w:rFonts w:eastAsia="Times New Roman"/>
          <w:color w:val="auto"/>
          <w:sz w:val="20"/>
          <w:szCs w:val="20"/>
          <w:lang w:eastAsia="en-GB"/>
        </w:rPr>
        <w:t>al learning compone</w:t>
      </w:r>
      <w:r w:rsidRPr="005763C4">
        <w:rPr>
          <w:rFonts w:eastAsia="Times New Roman"/>
          <w:color w:val="auto"/>
          <w:sz w:val="20"/>
          <w:szCs w:val="20"/>
          <w:lang w:eastAsia="en-GB"/>
        </w:rPr>
        <w:t>n</w:t>
      </w:r>
      <w:r w:rsidRPr="00907D91">
        <w:rPr>
          <w:rFonts w:eastAsia="Times New Roman"/>
          <w:color w:val="auto"/>
          <w:sz w:val="20"/>
          <w:szCs w:val="20"/>
          <w:lang w:eastAsia="en-GB"/>
        </w:rPr>
        <w:t>t, there are clini</w:t>
      </w:r>
      <w:r w:rsidRPr="005763C4">
        <w:rPr>
          <w:rFonts w:eastAsia="Times New Roman"/>
          <w:color w:val="auto"/>
          <w:sz w:val="20"/>
          <w:szCs w:val="20"/>
          <w:lang w:eastAsia="en-GB"/>
        </w:rPr>
        <w:t>c</w:t>
      </w:r>
      <w:r w:rsidRPr="00907D91">
        <w:rPr>
          <w:rFonts w:eastAsia="Times New Roman"/>
          <w:color w:val="auto"/>
          <w:sz w:val="20"/>
          <w:szCs w:val="20"/>
          <w:lang w:eastAsia="en-GB"/>
        </w:rPr>
        <w:t xml:space="preserve">al practice days. </w:t>
      </w:r>
      <w:r w:rsidRPr="005763C4">
        <w:rPr>
          <w:rFonts w:eastAsia="Times New Roman"/>
          <w:color w:val="auto"/>
          <w:sz w:val="20"/>
          <w:szCs w:val="20"/>
          <w:lang w:eastAsia="en-GB"/>
        </w:rPr>
        <w:t>I</w:t>
      </w:r>
      <w:r w:rsidRPr="00907D91">
        <w:rPr>
          <w:rFonts w:eastAsia="Times New Roman"/>
          <w:color w:val="auto"/>
          <w:sz w:val="20"/>
          <w:szCs w:val="20"/>
          <w:lang w:eastAsia="en-GB"/>
        </w:rPr>
        <w:t>n addition, the SANC has a set number of hours</w:t>
      </w:r>
      <w:r w:rsidRPr="005763C4">
        <w:rPr>
          <w:rFonts w:eastAsia="Times New Roman"/>
          <w:color w:val="auto"/>
          <w:sz w:val="20"/>
          <w:szCs w:val="20"/>
          <w:lang w:eastAsia="en-GB"/>
        </w:rPr>
        <w:t xml:space="preserve"> for practical learning -</w:t>
      </w:r>
      <w:r w:rsidRPr="00907D91">
        <w:rPr>
          <w:rFonts w:eastAsia="Times New Roman"/>
          <w:color w:val="auto"/>
          <w:sz w:val="20"/>
          <w:szCs w:val="20"/>
          <w:lang w:eastAsia="en-GB"/>
        </w:rPr>
        <w:t xml:space="preserve"> 962.</w:t>
      </w:r>
      <w:r w:rsidRPr="005763C4">
        <w:rPr>
          <w:rFonts w:eastAsia="Times New Roman"/>
          <w:color w:val="auto"/>
          <w:sz w:val="20"/>
          <w:szCs w:val="20"/>
          <w:lang w:eastAsia="en-GB"/>
        </w:rPr>
        <w:t xml:space="preserve"> We have therefore allocated 60% of the learning activities to practical learning. S</w:t>
      </w:r>
      <w:r w:rsidRPr="00907D91">
        <w:rPr>
          <w:rFonts w:eastAsia="Times New Roman"/>
          <w:color w:val="auto"/>
          <w:sz w:val="20"/>
          <w:szCs w:val="20"/>
          <w:lang w:eastAsia="en-GB"/>
        </w:rPr>
        <w:t xml:space="preserve">tudents have supervised clinical learning experience and keep a logbook of clinical learning experiences, including hours, and particular skills that are assessed and signed for by an assessor. In line with the specialisation, students undergo clinical experience in cooperation with authorities at the clinical platform. UCT is responsible for placing the student and the convenor is responsible for monitoring.  </w:t>
      </w:r>
      <w:r w:rsidRPr="005763C4">
        <w:rPr>
          <w:rFonts w:eastAsia="Times New Roman"/>
          <w:color w:val="auto"/>
          <w:sz w:val="20"/>
          <w:szCs w:val="20"/>
          <w:lang w:eastAsia="en-GB"/>
        </w:rPr>
        <w:t xml:space="preserve">The experiential learning is </w:t>
      </w:r>
      <w:r w:rsidRPr="00907D91">
        <w:rPr>
          <w:rFonts w:eastAsia="Times New Roman"/>
          <w:color w:val="auto"/>
          <w:sz w:val="20"/>
          <w:szCs w:val="20"/>
          <w:lang w:eastAsia="en-GB"/>
        </w:rPr>
        <w:t>done on a formal contractual basis</w:t>
      </w:r>
      <w:r w:rsidRPr="005763C4">
        <w:rPr>
          <w:rFonts w:eastAsia="Times New Roman"/>
          <w:color w:val="auto"/>
          <w:sz w:val="20"/>
          <w:szCs w:val="20"/>
          <w:lang w:eastAsia="en-GB"/>
        </w:rPr>
        <w:t xml:space="preserve"> and there is a</w:t>
      </w:r>
      <w:r w:rsidRPr="00907D91">
        <w:rPr>
          <w:rFonts w:eastAsia="Times New Roman"/>
          <w:color w:val="auto"/>
          <w:sz w:val="20"/>
          <w:szCs w:val="20"/>
          <w:lang w:eastAsia="en-GB"/>
        </w:rPr>
        <w:t xml:space="preserve"> formal process of feedback from the health facility and </w:t>
      </w:r>
      <w:r w:rsidRPr="005763C4">
        <w:rPr>
          <w:rFonts w:eastAsia="Times New Roman"/>
          <w:color w:val="auto"/>
          <w:sz w:val="20"/>
          <w:szCs w:val="20"/>
          <w:lang w:eastAsia="en-GB"/>
        </w:rPr>
        <w:t>UCT</w:t>
      </w:r>
      <w:r w:rsidRPr="00907D91">
        <w:rPr>
          <w:rFonts w:eastAsia="Times New Roman"/>
          <w:color w:val="auto"/>
          <w:sz w:val="20"/>
          <w:szCs w:val="20"/>
          <w:lang w:eastAsia="en-GB"/>
        </w:rPr>
        <w:t xml:space="preserve"> input. </w:t>
      </w:r>
      <w:r w:rsidRPr="005763C4">
        <w:rPr>
          <w:rFonts w:eastAsia="Times New Roman"/>
          <w:color w:val="auto"/>
          <w:sz w:val="20"/>
          <w:szCs w:val="20"/>
          <w:lang w:eastAsia="en-GB"/>
        </w:rPr>
        <w:t>S</w:t>
      </w:r>
      <w:r w:rsidRPr="00907D91">
        <w:rPr>
          <w:rFonts w:eastAsia="Times New Roman"/>
          <w:color w:val="auto"/>
          <w:sz w:val="20"/>
          <w:szCs w:val="20"/>
          <w:lang w:eastAsia="en-GB"/>
        </w:rPr>
        <w:t>tudents may not enter the final exam without completing</w:t>
      </w:r>
      <w:r w:rsidRPr="005763C4">
        <w:rPr>
          <w:rFonts w:eastAsia="Times New Roman"/>
          <w:color w:val="auto"/>
          <w:sz w:val="20"/>
          <w:szCs w:val="20"/>
          <w:lang w:eastAsia="en-GB"/>
        </w:rPr>
        <w:t xml:space="preserve"> a minimum of</w:t>
      </w:r>
      <w:r w:rsidRPr="00907D91">
        <w:rPr>
          <w:rFonts w:eastAsia="Times New Roman"/>
          <w:color w:val="auto"/>
          <w:sz w:val="20"/>
          <w:szCs w:val="20"/>
          <w:lang w:eastAsia="en-GB"/>
        </w:rPr>
        <w:t xml:space="preserve"> 50% of the clinical learning time. </w:t>
      </w:r>
      <w:r w:rsidRPr="005763C4">
        <w:rPr>
          <w:rFonts w:eastAsia="Times New Roman"/>
          <w:color w:val="auto"/>
          <w:sz w:val="20"/>
          <w:szCs w:val="20"/>
          <w:lang w:eastAsia="en-GB"/>
        </w:rPr>
        <w:t xml:space="preserve">Students are not allowed to </w:t>
      </w:r>
      <w:r w:rsidRPr="00907D91">
        <w:rPr>
          <w:rFonts w:eastAsia="Times New Roman"/>
          <w:color w:val="auto"/>
          <w:sz w:val="20"/>
          <w:szCs w:val="20"/>
          <w:lang w:eastAsia="en-GB"/>
        </w:rPr>
        <w:t>grad</w:t>
      </w:r>
      <w:r w:rsidRPr="005763C4">
        <w:rPr>
          <w:rFonts w:eastAsia="Times New Roman"/>
          <w:color w:val="auto"/>
          <w:sz w:val="20"/>
          <w:szCs w:val="20"/>
          <w:lang w:eastAsia="en-GB"/>
        </w:rPr>
        <w:t xml:space="preserve">uate </w:t>
      </w:r>
      <w:r w:rsidRPr="00907D91">
        <w:rPr>
          <w:rFonts w:eastAsia="Times New Roman"/>
          <w:color w:val="auto"/>
          <w:sz w:val="20"/>
          <w:szCs w:val="20"/>
          <w:lang w:eastAsia="en-GB"/>
        </w:rPr>
        <w:t xml:space="preserve">without </w:t>
      </w:r>
      <w:r w:rsidRPr="005763C4">
        <w:rPr>
          <w:rFonts w:eastAsia="Times New Roman"/>
          <w:color w:val="auto"/>
          <w:sz w:val="20"/>
          <w:szCs w:val="20"/>
          <w:lang w:eastAsia="en-GB"/>
        </w:rPr>
        <w:t>having completed these hours.</w:t>
      </w:r>
      <w:r w:rsidRPr="005763C4">
        <w:rPr>
          <w:color w:val="auto"/>
          <w:sz w:val="20"/>
          <w:szCs w:val="20"/>
        </w:rPr>
        <w:t xml:space="preserve"> </w:t>
      </w:r>
    </w:p>
    <w:p w:rsidR="008A4010" w:rsidRPr="005763C4" w:rsidRDefault="008A4010" w:rsidP="008A4010">
      <w:pPr>
        <w:pStyle w:val="Default"/>
        <w:rPr>
          <w:rFonts w:eastAsia="Times New Roman"/>
          <w:color w:val="auto"/>
          <w:sz w:val="20"/>
          <w:szCs w:val="20"/>
          <w:lang w:eastAsia="en-GB"/>
        </w:rPr>
      </w:pPr>
    </w:p>
    <w:p w:rsidR="008A4010" w:rsidRPr="005763C4" w:rsidRDefault="008A4010" w:rsidP="008A4010">
      <w:pPr>
        <w:pBdr>
          <w:bottom w:val="single" w:sz="6" w:space="1" w:color="auto"/>
        </w:pBdr>
        <w:spacing w:after="240" w:line="240" w:lineRule="auto"/>
        <w:rPr>
          <w:rFonts w:ascii="Times New Roman" w:eastAsia="Times New Roman" w:hAnsi="Times New Roman" w:cs="Times New Roman"/>
          <w:sz w:val="20"/>
          <w:szCs w:val="20"/>
          <w:lang w:eastAsia="en-GB"/>
        </w:rPr>
      </w:pPr>
      <w:r w:rsidRPr="005763C4">
        <w:rPr>
          <w:rFonts w:ascii="Times New Roman" w:eastAsia="Times New Roman" w:hAnsi="Times New Roman" w:cs="Times New Roman"/>
          <w:sz w:val="20"/>
          <w:szCs w:val="20"/>
          <w:lang w:eastAsia="en-GB"/>
        </w:rPr>
        <w:t xml:space="preserve">Regarding the change to NQF 8, the programme was introduced as a stream in the Postgraduate Diploma in Nursing in 2012, and therefore was designed at NQF 8 to meet the requirements of the HEQSF. Therefore, no change to NQF 8 was necessary.  </w:t>
      </w:r>
    </w:p>
    <w:p w:rsidR="00A27BD3" w:rsidRDefault="008A4010">
      <w:bookmarkStart w:id="0" w:name="_GoBack"/>
      <w:bookmarkEnd w:id="0"/>
    </w:p>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010"/>
    <w:rsid w:val="00073DFF"/>
    <w:rsid w:val="00287E4A"/>
    <w:rsid w:val="008A4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401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40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1756</Characters>
  <Application>Microsoft Office Word</Application>
  <DocSecurity>0</DocSecurity>
  <Lines>14</Lines>
  <Paragraphs>4</Paragraphs>
  <ScaleCrop>false</ScaleCrop>
  <Company>University of Cape Town</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2015-04-28T09:39:00Z</dcterms:created>
  <dcterms:modified xsi:type="dcterms:W3CDTF">2015-04-28T09:39:00Z</dcterms:modified>
</cp:coreProperties>
</file>