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45" w:rsidRDefault="009F3E45">
      <w:r w:rsidRPr="009F3E45">
        <w:t>The programme is coherently planned and aligned with the University's mission and vision. Outcomes are clearly stated and assessment is aligned with the outcomes. A variety of assessment techniques are employed, which are appropriate for the type of programme. With regard to credit allocation, the institution is requested to clarify the reference to 60 research credits (in the narrative sections) which are not reflected in the section which sets out the curriculum and allocation of credits.</w:t>
      </w:r>
    </w:p>
    <w:p w:rsidR="009F3E45" w:rsidRDefault="009F3E45">
      <w:r>
        <w:t>UCT response:</w:t>
      </w:r>
    </w:p>
    <w:p w:rsidR="009F3E45" w:rsidRDefault="009F3E45">
      <w:r w:rsidRPr="009F3E45">
        <w:t xml:space="preserve">This application is indicated as accredited in outcomes, but also as requiring information, and is therefore duplicated. We however submit representation as follows. </w:t>
      </w:r>
    </w:p>
    <w:p w:rsidR="00A27BD3" w:rsidRDefault="009F3E45">
      <w:r w:rsidRPr="009F3E45">
        <w:t xml:space="preserve">The Master of Philosophy in Paediatric Pathology has the following structure as per all subspecialties.  MPhil in Paediatric Pathology Part 1 (LAB7008W) is 120 credits. MPhil in Paediatric Pathology Part 2 (LAB7009W) is the 60-credit dissertation </w:t>
      </w:r>
      <w:r>
        <w:t xml:space="preserve">as indicated in the curriculum, </w:t>
      </w:r>
      <w:r w:rsidRPr="009F3E45">
        <w:t>makes up the research component described in the programme narrati</w:t>
      </w:r>
      <w:bookmarkStart w:id="0" w:name="_GoBack"/>
      <w:bookmarkEnd w:id="0"/>
      <w:r w:rsidRPr="009F3E45">
        <w:t>ve.</w:t>
      </w:r>
      <w:r>
        <w:t xml:space="preserve"> </w:t>
      </w:r>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45"/>
    <w:rsid w:val="00073DFF"/>
    <w:rsid w:val="00287E4A"/>
    <w:rsid w:val="009F3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9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874</Characters>
  <Application>Microsoft Office Word</Application>
  <DocSecurity>0</DocSecurity>
  <Lines>7</Lines>
  <Paragraphs>2</Paragraphs>
  <ScaleCrop>false</ScaleCrop>
  <Company>University of Cape Town</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2015-04-24T08:44:00Z</dcterms:created>
  <dcterms:modified xsi:type="dcterms:W3CDTF">2015-04-24T08:46:00Z</dcterms:modified>
</cp:coreProperties>
</file>