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C6F" w:rsidRPr="00751C6F" w:rsidRDefault="00751C6F" w:rsidP="00751C6F">
      <w:pPr>
        <w:spacing w:after="0" w:line="240" w:lineRule="auto"/>
        <w:outlineLvl w:val="0"/>
        <w:rPr>
          <w:rFonts w:ascii="Times New Roman" w:eastAsia="Times New Roman" w:hAnsi="Times New Roman" w:cs="Times New Roman"/>
          <w:color w:val="000000"/>
          <w:sz w:val="20"/>
          <w:szCs w:val="20"/>
          <w:lang w:eastAsia="en-GB"/>
        </w:rPr>
      </w:pPr>
      <w:r w:rsidRPr="00751C6F">
        <w:rPr>
          <w:rFonts w:ascii="Times New Roman" w:eastAsia="Times New Roman" w:hAnsi="Times New Roman" w:cs="Times New Roman"/>
          <w:color w:val="000000"/>
          <w:sz w:val="20"/>
          <w:szCs w:val="20"/>
          <w:lang w:eastAsia="en-GB"/>
        </w:rPr>
        <w:t>Question 1 comment: The redesign of the curriculum complies with the HEQSF criteria. The programme is comprehensive with theoretical, clinical and research outcomes.</w:t>
      </w:r>
      <w:r w:rsidRPr="00751C6F">
        <w:rPr>
          <w:rFonts w:ascii="Times New Roman" w:eastAsia="Times New Roman" w:hAnsi="Times New Roman" w:cs="Times New Roman"/>
          <w:color w:val="000000"/>
          <w:sz w:val="20"/>
          <w:szCs w:val="20"/>
          <w:lang w:eastAsia="en-GB"/>
        </w:rPr>
        <w:br/>
        <w:t>Question 2 comment: The programme modules are coherently designed and complies with the HEQSF criteria.</w:t>
      </w:r>
      <w:r w:rsidRPr="00751C6F">
        <w:rPr>
          <w:rFonts w:ascii="Times New Roman" w:eastAsia="Times New Roman" w:hAnsi="Times New Roman" w:cs="Times New Roman"/>
          <w:color w:val="000000"/>
          <w:sz w:val="20"/>
          <w:szCs w:val="20"/>
          <w:lang w:eastAsia="en-GB"/>
        </w:rPr>
        <w:br/>
        <w:t>Question 3 comment: The assessment approach purpose and methods are appropriate for a two year masters degree with theoretical, clinical and research components.</w:t>
      </w:r>
      <w:r w:rsidRPr="00751C6F">
        <w:rPr>
          <w:rFonts w:ascii="Times New Roman" w:eastAsia="Times New Roman" w:hAnsi="Times New Roman" w:cs="Times New Roman"/>
          <w:color w:val="000000"/>
          <w:sz w:val="20"/>
          <w:szCs w:val="20"/>
          <w:lang w:eastAsia="en-GB"/>
        </w:rPr>
        <w:br/>
        <w:t>Question 4 comment: From Question 3, the clinical outcome for the programme is described as assessment and treatment of psychiatric disorders of the medically ill and includes specialist psychiatric knowledge such as psychopathology, assessment tools, medical investigations and treatment modalities including various psychological therapies and medical treatments. The assessment also includes observed clinical examinations. It is unclear how no work-based WIL can be planned for the programme. Due to the decision to classify the WIL as non-work-based WIL, there is no information related to the coordination of the WIL in clinical settings. The planned assessment time constitutes 32% of the learning time, clarification is required.</w:t>
      </w:r>
      <w:r w:rsidRPr="00751C6F">
        <w:rPr>
          <w:rFonts w:ascii="Times New Roman" w:eastAsia="Times New Roman" w:hAnsi="Times New Roman" w:cs="Times New Roman"/>
          <w:color w:val="000000"/>
          <w:sz w:val="20"/>
          <w:szCs w:val="20"/>
          <w:lang w:eastAsia="en-GB"/>
        </w:rPr>
        <w:br/>
        <w:t>Recommended Evaluation Outcome comment: Clarification is required regarding the choice of non-work-based WIL and the 32% assessment time in the learning activity table.</w:t>
      </w:r>
    </w:p>
    <w:p w:rsidR="00751C6F" w:rsidRDefault="00751C6F" w:rsidP="00751C6F">
      <w:pPr>
        <w:spacing w:after="0" w:line="240" w:lineRule="auto"/>
        <w:outlineLvl w:val="0"/>
        <w:rPr>
          <w:rFonts w:ascii="Times New Roman" w:eastAsia="Times New Roman" w:hAnsi="Times New Roman" w:cs="Times New Roman"/>
          <w:color w:val="00B0F0"/>
          <w:sz w:val="20"/>
          <w:szCs w:val="20"/>
          <w:lang w:eastAsia="en-GB"/>
        </w:rPr>
      </w:pPr>
    </w:p>
    <w:p w:rsidR="00751C6F" w:rsidRPr="00751C6F" w:rsidRDefault="00751C6F" w:rsidP="00751C6F">
      <w:pPr>
        <w:spacing w:after="0" w:line="240" w:lineRule="auto"/>
        <w:outlineLvl w:val="0"/>
        <w:rPr>
          <w:rFonts w:ascii="Times New Roman" w:eastAsia="Times New Roman" w:hAnsi="Times New Roman" w:cs="Times New Roman"/>
          <w:color w:val="00B0F0"/>
          <w:sz w:val="20"/>
          <w:szCs w:val="20"/>
          <w:lang w:eastAsia="en-GB"/>
        </w:rPr>
      </w:pPr>
    </w:p>
    <w:p w:rsidR="00751C6F" w:rsidRPr="00751C6F" w:rsidRDefault="00751C6F" w:rsidP="00751C6F">
      <w:pPr>
        <w:pStyle w:val="NoSpacing"/>
        <w:rPr>
          <w:rFonts w:ascii="Times New Roman" w:hAnsi="Times New Roman" w:cs="Times New Roman"/>
          <w:lang w:eastAsia="en-GB"/>
        </w:rPr>
      </w:pPr>
      <w:r w:rsidRPr="00751C6F">
        <w:rPr>
          <w:rFonts w:ascii="Times New Roman" w:hAnsi="Times New Roman" w:cs="Times New Roman"/>
          <w:lang w:eastAsia="en-GB"/>
        </w:rPr>
        <w:t>UCT response:</w:t>
      </w:r>
    </w:p>
    <w:p w:rsidR="00C067B9" w:rsidRDefault="00751C6F" w:rsidP="00751C6F">
      <w:pPr>
        <w:pStyle w:val="NoSpacing"/>
        <w:rPr>
          <w:rFonts w:ascii="Times New Roman" w:hAnsi="Times New Roman" w:cs="Times New Roman"/>
          <w:lang w:eastAsia="en-GB"/>
        </w:rPr>
      </w:pPr>
      <w:r w:rsidRPr="00751C6F">
        <w:rPr>
          <w:rFonts w:ascii="Times New Roman" w:hAnsi="Times New Roman" w:cs="Times New Roman"/>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Students are already in their own work environments when they register for the qualification.                                                                                                                                              </w:t>
      </w:r>
    </w:p>
    <w:p w:rsidR="00C067B9" w:rsidRDefault="00C067B9" w:rsidP="00751C6F">
      <w:pPr>
        <w:pStyle w:val="NoSpacing"/>
        <w:rPr>
          <w:rFonts w:ascii="Times New Roman" w:hAnsi="Times New Roman" w:cs="Times New Roman"/>
          <w:lang w:eastAsia="en-GB"/>
        </w:rPr>
      </w:pPr>
    </w:p>
    <w:p w:rsidR="00751C6F" w:rsidRPr="00751C6F" w:rsidRDefault="00751C6F" w:rsidP="00751C6F">
      <w:pPr>
        <w:pStyle w:val="NoSpacing"/>
        <w:rPr>
          <w:rFonts w:ascii="Times New Roman" w:hAnsi="Times New Roman" w:cs="Times New Roman"/>
          <w:lang w:eastAsia="en-GB"/>
        </w:rPr>
      </w:pPr>
      <w:r w:rsidRPr="00751C6F">
        <w:rPr>
          <w:rFonts w:ascii="Times New Roman" w:hAnsi="Times New Roman" w:cs="Times New Roman"/>
          <w:lang w:eastAsia="en-GB"/>
        </w:rPr>
        <w:t>Regarding the proportion of time allocated to assessment, in addition to formal examination and a 60-credit dissertation, the qualification uses continuous assessment in the form of regular supervision sessions, case presentations</w:t>
      </w:r>
      <w:r w:rsidR="00D5257A">
        <w:rPr>
          <w:rFonts w:ascii="Times New Roman" w:hAnsi="Times New Roman" w:cs="Times New Roman"/>
          <w:lang w:eastAsia="en-GB"/>
        </w:rPr>
        <w:t>, the production of the dis</w:t>
      </w:r>
      <w:bookmarkStart w:id="0" w:name="_GoBack"/>
      <w:bookmarkEnd w:id="0"/>
      <w:r w:rsidR="00D5257A">
        <w:rPr>
          <w:rFonts w:ascii="Times New Roman" w:hAnsi="Times New Roman" w:cs="Times New Roman"/>
          <w:lang w:eastAsia="en-GB"/>
        </w:rPr>
        <w:t>sertation</w:t>
      </w:r>
      <w:r w:rsidRPr="00751C6F">
        <w:rPr>
          <w:rFonts w:ascii="Times New Roman" w:hAnsi="Times New Roman" w:cs="Times New Roman"/>
          <w:lang w:eastAsia="en-GB"/>
        </w:rPr>
        <w:t xml:space="preserve"> and discussion. Thus we feel it is appropriate to allocate 32% of the total learning time to assessments. </w:t>
      </w:r>
    </w:p>
    <w:p w:rsidR="00A27BD3" w:rsidRDefault="00D5257A"/>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6F"/>
    <w:rsid w:val="00073DFF"/>
    <w:rsid w:val="00287E4A"/>
    <w:rsid w:val="00751C6F"/>
    <w:rsid w:val="00C067B9"/>
    <w:rsid w:val="00D52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C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C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1165">
      <w:bodyDiv w:val="1"/>
      <w:marLeft w:val="0"/>
      <w:marRight w:val="0"/>
      <w:marTop w:val="0"/>
      <w:marBottom w:val="0"/>
      <w:divBdr>
        <w:top w:val="none" w:sz="0" w:space="0" w:color="auto"/>
        <w:left w:val="none" w:sz="0" w:space="0" w:color="auto"/>
        <w:bottom w:val="none" w:sz="0" w:space="0" w:color="auto"/>
        <w:right w:val="none" w:sz="0" w:space="0" w:color="auto"/>
      </w:divBdr>
    </w:div>
    <w:div w:id="152466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2022</Characters>
  <Application>Microsoft Office Word</Application>
  <DocSecurity>0</DocSecurity>
  <Lines>16</Lines>
  <Paragraphs>4</Paragraphs>
  <ScaleCrop>false</ScaleCrop>
  <Company>University of Cape Town</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3</cp:revision>
  <dcterms:created xsi:type="dcterms:W3CDTF">2015-04-24T08:04:00Z</dcterms:created>
  <dcterms:modified xsi:type="dcterms:W3CDTF">2015-04-24T08:06:00Z</dcterms:modified>
</cp:coreProperties>
</file>