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96F" w:rsidRPr="0008696F" w:rsidRDefault="0008696F" w:rsidP="0008696F">
      <w:pPr>
        <w:spacing w:after="0" w:line="240" w:lineRule="auto"/>
        <w:outlineLvl w:val="0"/>
        <w:rPr>
          <w:rFonts w:ascii="Times New Roman" w:eastAsia="Times New Roman" w:hAnsi="Times New Roman" w:cs="Times New Roman"/>
          <w:sz w:val="24"/>
          <w:szCs w:val="24"/>
          <w:lang w:eastAsia="en-GB"/>
        </w:rPr>
      </w:pPr>
      <w:r w:rsidRPr="0008696F">
        <w:rPr>
          <w:rFonts w:ascii="Times New Roman" w:eastAsia="Times New Roman" w:hAnsi="Times New Roman" w:cs="Times New Roman"/>
          <w:sz w:val="24"/>
          <w:szCs w:val="24"/>
          <w:lang w:eastAsia="en-GB"/>
        </w:rPr>
        <w:t>The statement regarding the choice of the candidate to do the research should be explained as well as no planned work-based WIL. The high proportion of assessment time (30%) also needs more information.</w:t>
      </w:r>
    </w:p>
    <w:p w:rsidR="0008696F" w:rsidRPr="0008696F" w:rsidRDefault="0008696F" w:rsidP="0008696F">
      <w:pPr>
        <w:spacing w:after="0" w:line="240" w:lineRule="auto"/>
        <w:outlineLvl w:val="0"/>
        <w:rPr>
          <w:rFonts w:ascii="Times New Roman" w:eastAsia="Times New Roman" w:hAnsi="Times New Roman" w:cs="Times New Roman"/>
          <w:sz w:val="24"/>
          <w:szCs w:val="24"/>
          <w:lang w:eastAsia="en-GB"/>
        </w:rPr>
      </w:pPr>
    </w:p>
    <w:p w:rsidR="0008696F" w:rsidRPr="0008696F" w:rsidRDefault="0008696F" w:rsidP="0008696F">
      <w:pPr>
        <w:spacing w:after="0" w:line="240" w:lineRule="auto"/>
        <w:outlineLvl w:val="0"/>
        <w:rPr>
          <w:rFonts w:ascii="Times New Roman" w:eastAsia="Times New Roman" w:hAnsi="Times New Roman" w:cs="Times New Roman"/>
          <w:sz w:val="24"/>
          <w:szCs w:val="24"/>
          <w:lang w:eastAsia="en-GB"/>
        </w:rPr>
      </w:pPr>
      <w:r w:rsidRPr="0008696F">
        <w:rPr>
          <w:rFonts w:ascii="Times New Roman" w:eastAsia="Times New Roman" w:hAnsi="Times New Roman" w:cs="Times New Roman"/>
          <w:sz w:val="24"/>
          <w:szCs w:val="24"/>
          <w:lang w:eastAsia="en-GB"/>
        </w:rPr>
        <w:t>UCT response:</w:t>
      </w:r>
    </w:p>
    <w:p w:rsidR="005C1F04" w:rsidRDefault="0008696F" w:rsidP="0008696F">
      <w:pPr>
        <w:spacing w:after="0" w:line="240" w:lineRule="auto"/>
        <w:outlineLvl w:val="0"/>
        <w:rPr>
          <w:rFonts w:ascii="Times New Roman" w:eastAsia="Times New Roman" w:hAnsi="Times New Roman" w:cs="Times New Roman"/>
          <w:sz w:val="24"/>
          <w:szCs w:val="24"/>
          <w:lang w:eastAsia="en-GB"/>
        </w:rPr>
      </w:pPr>
      <w:r w:rsidRPr="0008696F">
        <w:rPr>
          <w:rFonts w:ascii="Times New Roman" w:eastAsia="Times New Roman" w:hAnsi="Times New Roman" w:cs="Times New Roman"/>
          <w:sz w:val="24"/>
          <w:szCs w:val="24"/>
          <w:lang w:eastAsia="en-GB"/>
        </w:rPr>
        <w:t xml:space="preserve">As with all subspecialties the minor dissertation (MPhil in Infectious Diseases &amp; HIV Medicine Part 2 (MDN7051W)), conducted under supervision, is a requirement for those senior registrars who wish to graduate with the degree. Those who choose not to complete a dissertation may register with the HPCSA as subspecialists after successful completion of the relevant College of Medicine Part 1 examination.                           </w:t>
      </w:r>
    </w:p>
    <w:p w:rsidR="005C1F04" w:rsidRDefault="005C1F04" w:rsidP="0008696F">
      <w:pPr>
        <w:spacing w:after="0" w:line="240" w:lineRule="auto"/>
        <w:outlineLvl w:val="0"/>
        <w:rPr>
          <w:rFonts w:ascii="Times New Roman" w:eastAsia="Times New Roman" w:hAnsi="Times New Roman" w:cs="Times New Roman"/>
          <w:sz w:val="24"/>
          <w:szCs w:val="24"/>
          <w:lang w:eastAsia="en-GB"/>
        </w:rPr>
      </w:pPr>
    </w:p>
    <w:p w:rsidR="005C1F04" w:rsidRDefault="0008696F" w:rsidP="0008696F">
      <w:pPr>
        <w:spacing w:after="0" w:line="240" w:lineRule="auto"/>
        <w:outlineLvl w:val="0"/>
        <w:rPr>
          <w:rFonts w:ascii="Times New Roman" w:eastAsia="Times New Roman" w:hAnsi="Times New Roman" w:cs="Times New Roman"/>
          <w:sz w:val="24"/>
          <w:szCs w:val="24"/>
          <w:lang w:eastAsia="en-GB"/>
        </w:rPr>
      </w:pPr>
      <w:r w:rsidRPr="0008696F">
        <w:rPr>
          <w:rFonts w:ascii="Times New Roman" w:eastAsia="Times New Roman" w:hAnsi="Times New Roman" w:cs="Times New Roman"/>
          <w:sz w:val="24"/>
          <w:szCs w:val="24"/>
          <w:lang w:eastAsia="en-GB"/>
        </w:rPr>
        <w:t xml:space="preserve">As per the DHET definition, 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registrars are employed by the province on the UCT teaching </w:t>
      </w:r>
      <w:proofErr w:type="gramStart"/>
      <w:r w:rsidRPr="0008696F">
        <w:rPr>
          <w:rFonts w:ascii="Times New Roman" w:eastAsia="Times New Roman" w:hAnsi="Times New Roman" w:cs="Times New Roman"/>
          <w:sz w:val="24"/>
          <w:szCs w:val="24"/>
          <w:lang w:eastAsia="en-GB"/>
        </w:rPr>
        <w:t>platform  and</w:t>
      </w:r>
      <w:proofErr w:type="gramEnd"/>
      <w:r w:rsidRPr="0008696F">
        <w:rPr>
          <w:rFonts w:ascii="Times New Roman" w:eastAsia="Times New Roman" w:hAnsi="Times New Roman" w:cs="Times New Roman"/>
          <w:sz w:val="24"/>
          <w:szCs w:val="24"/>
          <w:lang w:eastAsia="en-GB"/>
        </w:rPr>
        <w:t xml:space="preserve"> they therefore enter into an employment contract that spells out their clinical duties. Their academic and clinical training are integrated into the clinical duties since they work under supervision of registered specialists/subspecialists. Training is supervised on site on the UCT platform by our own UCT or joint staff. The employment contract includes a </w:t>
      </w:r>
      <w:proofErr w:type="spellStart"/>
      <w:r w:rsidRPr="0008696F">
        <w:rPr>
          <w:rFonts w:ascii="Times New Roman" w:eastAsia="Times New Roman" w:hAnsi="Times New Roman" w:cs="Times New Roman"/>
          <w:sz w:val="24"/>
          <w:szCs w:val="24"/>
          <w:lang w:eastAsia="en-GB"/>
        </w:rPr>
        <w:t>workplan</w:t>
      </w:r>
      <w:proofErr w:type="spellEnd"/>
      <w:r w:rsidRPr="0008696F">
        <w:rPr>
          <w:rFonts w:ascii="Times New Roman" w:eastAsia="Times New Roman" w:hAnsi="Times New Roman" w:cs="Times New Roman"/>
          <w:sz w:val="24"/>
          <w:szCs w:val="24"/>
          <w:lang w:eastAsia="en-GB"/>
        </w:rPr>
        <w:t>, with related KPAs and indicators.  It is the institution's responsibility to place student.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w:t>
      </w:r>
    </w:p>
    <w:p w:rsidR="005C1F04" w:rsidRDefault="005C1F04" w:rsidP="0008696F">
      <w:pPr>
        <w:spacing w:after="0" w:line="240" w:lineRule="auto"/>
        <w:outlineLvl w:val="0"/>
        <w:rPr>
          <w:rFonts w:ascii="Times New Roman" w:eastAsia="Times New Roman" w:hAnsi="Times New Roman" w:cs="Times New Roman"/>
          <w:sz w:val="24"/>
          <w:szCs w:val="24"/>
          <w:lang w:eastAsia="en-GB"/>
        </w:rPr>
      </w:pPr>
    </w:p>
    <w:p w:rsidR="0008696F" w:rsidRPr="0008696F" w:rsidRDefault="0008696F" w:rsidP="0008696F">
      <w:pPr>
        <w:spacing w:after="0" w:line="240" w:lineRule="auto"/>
        <w:outlineLvl w:val="0"/>
        <w:rPr>
          <w:rFonts w:ascii="Times New Roman" w:eastAsia="Times New Roman" w:hAnsi="Times New Roman" w:cs="Times New Roman"/>
          <w:sz w:val="24"/>
          <w:szCs w:val="24"/>
          <w:lang w:eastAsia="en-GB"/>
        </w:rPr>
      </w:pPr>
      <w:r w:rsidRPr="0008696F">
        <w:rPr>
          <w:rFonts w:ascii="Times New Roman" w:eastAsia="Times New Roman" w:hAnsi="Times New Roman" w:cs="Times New Roman"/>
          <w:sz w:val="24"/>
          <w:szCs w:val="24"/>
          <w:lang w:eastAsia="en-GB"/>
        </w:rPr>
        <w:t xml:space="preserve">Regarding the proportion of time allocated to assessment, it must be noted that this is determined by the nature of the programme that is as a subspecialty programme with a substantial clinical component that requires ongoing assessment of performance through regular supervision sessions, involvement in seminars, evaluation by means of observed clinical interviews, CMSA assessments and assessment of a 60-credit dissertation. Thus we feel it is appropriate to allocate 30% of the total learning time to assessments.  </w:t>
      </w:r>
      <w:bookmarkStart w:id="0" w:name="_GoBack"/>
      <w:bookmarkEnd w:id="0"/>
    </w:p>
    <w:p w:rsidR="00A27BD3" w:rsidRPr="0008696F" w:rsidRDefault="005C1F04">
      <w:pPr>
        <w:rPr>
          <w:sz w:val="24"/>
          <w:szCs w:val="24"/>
        </w:rPr>
      </w:pPr>
    </w:p>
    <w:sectPr w:rsidR="00A27BD3" w:rsidRPr="0008696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96F"/>
    <w:rsid w:val="00073DFF"/>
    <w:rsid w:val="0008696F"/>
    <w:rsid w:val="00287E4A"/>
    <w:rsid w:val="005C1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062500">
      <w:bodyDiv w:val="1"/>
      <w:marLeft w:val="0"/>
      <w:marRight w:val="0"/>
      <w:marTop w:val="0"/>
      <w:marBottom w:val="0"/>
      <w:divBdr>
        <w:top w:val="none" w:sz="0" w:space="0" w:color="auto"/>
        <w:left w:val="none" w:sz="0" w:space="0" w:color="auto"/>
        <w:bottom w:val="none" w:sz="0" w:space="0" w:color="auto"/>
        <w:right w:val="none" w:sz="0" w:space="0" w:color="auto"/>
      </w:divBdr>
    </w:div>
    <w:div w:id="182893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401</Words>
  <Characters>2287</Characters>
  <Application>Microsoft Office Word</Application>
  <DocSecurity>0</DocSecurity>
  <Lines>19</Lines>
  <Paragraphs>5</Paragraphs>
  <ScaleCrop>false</ScaleCrop>
  <Company>University of Cape Town</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2</cp:revision>
  <dcterms:created xsi:type="dcterms:W3CDTF">2015-04-24T09:19:00Z</dcterms:created>
  <dcterms:modified xsi:type="dcterms:W3CDTF">2015-04-24T09:21:00Z</dcterms:modified>
</cp:coreProperties>
</file>