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8EA" w:rsidRPr="000528EA" w:rsidRDefault="000528EA" w:rsidP="000528EA">
      <w:pPr>
        <w:spacing w:after="0" w:line="240" w:lineRule="auto"/>
        <w:outlineLvl w:val="0"/>
        <w:rPr>
          <w:rFonts w:ascii="Times New Roman" w:eastAsia="Times New Roman" w:hAnsi="Times New Roman" w:cs="Times New Roman"/>
          <w:sz w:val="24"/>
          <w:szCs w:val="24"/>
          <w:lang w:eastAsia="en-GB"/>
        </w:rPr>
      </w:pPr>
      <w:r w:rsidRPr="000528EA">
        <w:rPr>
          <w:rFonts w:ascii="Times New Roman" w:eastAsia="Times New Roman" w:hAnsi="Times New Roman" w:cs="Times New Roman"/>
          <w:sz w:val="24"/>
          <w:szCs w:val="24"/>
          <w:lang w:eastAsia="en-GB"/>
        </w:rPr>
        <w:t>The programme is HEQSF-aligned. The programme is comprehensive, presented as a two year masters, and has an appropriate balance of theory and clinical skills.</w:t>
      </w:r>
      <w:r w:rsidRPr="000528EA">
        <w:rPr>
          <w:rFonts w:ascii="Times New Roman" w:eastAsia="Times New Roman" w:hAnsi="Times New Roman" w:cs="Times New Roman"/>
          <w:sz w:val="24"/>
          <w:szCs w:val="24"/>
          <w:lang w:eastAsia="en-GB"/>
        </w:rPr>
        <w:br/>
        <w:t>The redesign of the curriculum complies with the HEQSF criteria. The programme is comprehensive with theoretical, clinical and research outcomes.</w:t>
      </w:r>
      <w:r w:rsidRPr="000528EA">
        <w:rPr>
          <w:rFonts w:ascii="Times New Roman" w:eastAsia="Times New Roman" w:hAnsi="Times New Roman" w:cs="Times New Roman"/>
          <w:sz w:val="24"/>
          <w:szCs w:val="24"/>
          <w:lang w:eastAsia="en-GB"/>
        </w:rPr>
        <w:br/>
        <w:t xml:space="preserve">The assessment approach purpose and methods are appropriate for a two year </w:t>
      </w:r>
      <w:proofErr w:type="spellStart"/>
      <w:r w:rsidRPr="000528EA">
        <w:rPr>
          <w:rFonts w:ascii="Times New Roman" w:eastAsia="Times New Roman" w:hAnsi="Times New Roman" w:cs="Times New Roman"/>
          <w:sz w:val="24"/>
          <w:szCs w:val="24"/>
          <w:lang w:eastAsia="en-GB"/>
        </w:rPr>
        <w:t>masters</w:t>
      </w:r>
      <w:proofErr w:type="spellEnd"/>
      <w:r w:rsidRPr="000528EA">
        <w:rPr>
          <w:rFonts w:ascii="Times New Roman" w:eastAsia="Times New Roman" w:hAnsi="Times New Roman" w:cs="Times New Roman"/>
          <w:sz w:val="24"/>
          <w:szCs w:val="24"/>
          <w:lang w:eastAsia="en-GB"/>
        </w:rPr>
        <w:t xml:space="preserve"> degree with theoretical, clinical and research components. From Question 3, the exit level outcome related to the clinical component of the programme includes that the candidate must have clinical expertise in complicated obstetrics including maternal resuscitation and intensive care, </w:t>
      </w:r>
      <w:proofErr w:type="spellStart"/>
      <w:r w:rsidRPr="000528EA">
        <w:rPr>
          <w:rFonts w:ascii="Times New Roman" w:eastAsia="Times New Roman" w:hAnsi="Times New Roman" w:cs="Times New Roman"/>
          <w:sz w:val="24"/>
          <w:szCs w:val="24"/>
          <w:lang w:eastAsia="en-GB"/>
        </w:rPr>
        <w:t>fetal</w:t>
      </w:r>
      <w:proofErr w:type="spellEnd"/>
      <w:r w:rsidRPr="000528EA">
        <w:rPr>
          <w:rFonts w:ascii="Times New Roman" w:eastAsia="Times New Roman" w:hAnsi="Times New Roman" w:cs="Times New Roman"/>
          <w:sz w:val="24"/>
          <w:szCs w:val="24"/>
          <w:lang w:eastAsia="en-GB"/>
        </w:rPr>
        <w:t xml:space="preserve"> medicine, infectious diseases in pregnancy and medical and surgical complications of pregnancy.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w:t>
      </w:r>
    </w:p>
    <w:p w:rsidR="00A27BD3" w:rsidRPr="000528EA" w:rsidRDefault="00575DE6">
      <w:pPr>
        <w:rPr>
          <w:rFonts w:ascii="Times New Roman" w:hAnsi="Times New Roman" w:cs="Times New Roman"/>
          <w:sz w:val="24"/>
          <w:szCs w:val="24"/>
        </w:rPr>
      </w:pPr>
    </w:p>
    <w:p w:rsidR="000528EA" w:rsidRPr="000528EA" w:rsidRDefault="000528EA">
      <w:pPr>
        <w:rPr>
          <w:rFonts w:ascii="Times New Roman" w:hAnsi="Times New Roman" w:cs="Times New Roman"/>
          <w:sz w:val="24"/>
          <w:szCs w:val="24"/>
        </w:rPr>
      </w:pPr>
      <w:r w:rsidRPr="000528EA">
        <w:rPr>
          <w:rFonts w:ascii="Times New Roman" w:hAnsi="Times New Roman" w:cs="Times New Roman"/>
          <w:sz w:val="24"/>
          <w:szCs w:val="24"/>
        </w:rPr>
        <w:t>UCT response:</w:t>
      </w:r>
    </w:p>
    <w:p w:rsidR="00D17167" w:rsidRDefault="000528EA" w:rsidP="000528EA">
      <w:pPr>
        <w:spacing w:after="0" w:line="240" w:lineRule="auto"/>
        <w:outlineLvl w:val="0"/>
        <w:rPr>
          <w:rFonts w:ascii="Times New Roman" w:eastAsia="Times New Roman" w:hAnsi="Times New Roman" w:cs="Times New Roman"/>
          <w:sz w:val="24"/>
          <w:szCs w:val="24"/>
          <w:lang w:eastAsia="en-GB"/>
        </w:rPr>
      </w:pPr>
      <w:r w:rsidRPr="000528EA">
        <w:rPr>
          <w:rFonts w:ascii="Times New Roman" w:eastAsia="Times New Roman" w:hAnsi="Times New Roman" w:cs="Times New Roman"/>
          <w:sz w:val="24"/>
          <w:szCs w:val="24"/>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w:t>
      </w:r>
      <w:proofErr w:type="gramStart"/>
      <w:r w:rsidRPr="000528EA">
        <w:rPr>
          <w:rFonts w:ascii="Times New Roman" w:eastAsia="Times New Roman" w:hAnsi="Times New Roman" w:cs="Times New Roman"/>
          <w:sz w:val="24"/>
          <w:szCs w:val="24"/>
          <w:lang w:eastAsia="en-GB"/>
        </w:rPr>
        <w:t>platform  and</w:t>
      </w:r>
      <w:proofErr w:type="gramEnd"/>
      <w:r w:rsidRPr="000528EA">
        <w:rPr>
          <w:rFonts w:ascii="Times New Roman" w:eastAsia="Times New Roman" w:hAnsi="Times New Roman" w:cs="Times New Roman"/>
          <w:sz w:val="24"/>
          <w:szCs w:val="24"/>
          <w:lang w:eastAsia="en-GB"/>
        </w:rPr>
        <w:t xml:space="preserve">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0528EA">
        <w:rPr>
          <w:rFonts w:ascii="Times New Roman" w:eastAsia="Times New Roman" w:hAnsi="Times New Roman" w:cs="Times New Roman"/>
          <w:sz w:val="24"/>
          <w:szCs w:val="24"/>
          <w:lang w:eastAsia="en-GB"/>
        </w:rPr>
        <w:t>workplan</w:t>
      </w:r>
      <w:proofErr w:type="spellEnd"/>
      <w:r w:rsidRPr="000528EA">
        <w:rPr>
          <w:rFonts w:ascii="Times New Roman" w:eastAsia="Times New Roman" w:hAnsi="Times New Roman" w:cs="Times New Roman"/>
          <w:sz w:val="24"/>
          <w:szCs w:val="24"/>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D17167" w:rsidRDefault="00D17167" w:rsidP="000528EA">
      <w:pPr>
        <w:spacing w:after="0" w:line="240" w:lineRule="auto"/>
        <w:outlineLvl w:val="0"/>
        <w:rPr>
          <w:rFonts w:ascii="Times New Roman" w:eastAsia="Times New Roman" w:hAnsi="Times New Roman" w:cs="Times New Roman"/>
          <w:sz w:val="24"/>
          <w:szCs w:val="24"/>
          <w:lang w:eastAsia="en-GB"/>
        </w:rPr>
      </w:pPr>
    </w:p>
    <w:p w:rsidR="000528EA" w:rsidRPr="000528EA" w:rsidRDefault="000528EA" w:rsidP="000528EA">
      <w:pPr>
        <w:spacing w:after="0" w:line="240" w:lineRule="auto"/>
        <w:outlineLvl w:val="0"/>
        <w:rPr>
          <w:rFonts w:ascii="Times New Roman" w:eastAsia="Times New Roman" w:hAnsi="Times New Roman" w:cs="Times New Roman"/>
          <w:sz w:val="24"/>
          <w:szCs w:val="24"/>
          <w:lang w:eastAsia="en-GB"/>
        </w:rPr>
      </w:pPr>
      <w:bookmarkStart w:id="0" w:name="_GoBack"/>
      <w:bookmarkEnd w:id="0"/>
      <w:r w:rsidRPr="000528EA">
        <w:rPr>
          <w:rFonts w:ascii="Times New Roman" w:eastAsia="Times New Roman" w:hAnsi="Times New Roman" w:cs="Times New Roman"/>
          <w:sz w:val="24"/>
          <w:szCs w:val="24"/>
          <w:lang w:eastAsia="en-GB"/>
        </w:rPr>
        <w:t xml:space="preserve">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0528EA" w:rsidRPr="000528EA" w:rsidRDefault="000528EA">
      <w:pPr>
        <w:rPr>
          <w:rFonts w:ascii="Times New Roman" w:hAnsi="Times New Roman" w:cs="Times New Roman"/>
          <w:sz w:val="24"/>
          <w:szCs w:val="24"/>
        </w:rPr>
      </w:pPr>
    </w:p>
    <w:sectPr w:rsidR="000528EA" w:rsidRPr="000528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EA"/>
    <w:rsid w:val="000528EA"/>
    <w:rsid w:val="00073DFF"/>
    <w:rsid w:val="00287E4A"/>
    <w:rsid w:val="00575DE6"/>
    <w:rsid w:val="00D17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909048">
      <w:bodyDiv w:val="1"/>
      <w:marLeft w:val="0"/>
      <w:marRight w:val="0"/>
      <w:marTop w:val="0"/>
      <w:marBottom w:val="0"/>
      <w:divBdr>
        <w:top w:val="none" w:sz="0" w:space="0" w:color="auto"/>
        <w:left w:val="none" w:sz="0" w:space="0" w:color="auto"/>
        <w:bottom w:val="none" w:sz="0" w:space="0" w:color="auto"/>
        <w:right w:val="none" w:sz="0" w:space="0" w:color="auto"/>
      </w:divBdr>
    </w:div>
    <w:div w:id="11258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2782</Characters>
  <Application>Microsoft Office Word</Application>
  <DocSecurity>0</DocSecurity>
  <Lines>23</Lines>
  <Paragraphs>6</Paragraphs>
  <ScaleCrop>false</ScaleCrop>
  <Company>University of Cape Town</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3</cp:revision>
  <dcterms:created xsi:type="dcterms:W3CDTF">2015-04-24T11:16:00Z</dcterms:created>
  <dcterms:modified xsi:type="dcterms:W3CDTF">2015-04-24T11:19:00Z</dcterms:modified>
</cp:coreProperties>
</file>