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442" w:rsidRPr="00FD6442" w:rsidRDefault="00FD6442" w:rsidP="00FD6442">
      <w:pPr>
        <w:spacing w:after="0" w:line="240" w:lineRule="auto"/>
        <w:outlineLvl w:val="0"/>
        <w:rPr>
          <w:rFonts w:ascii="Times New Roman" w:eastAsia="Times New Roman" w:hAnsi="Times New Roman" w:cs="Times New Roman"/>
          <w:sz w:val="20"/>
          <w:szCs w:val="20"/>
          <w:lang w:eastAsia="en-GB"/>
        </w:rPr>
      </w:pPr>
    </w:p>
    <w:p w:rsidR="00FD6442" w:rsidRPr="00FD6442" w:rsidRDefault="00FD6442" w:rsidP="00FD6442">
      <w:pPr>
        <w:spacing w:after="0" w:line="240" w:lineRule="auto"/>
        <w:outlineLvl w:val="0"/>
        <w:rPr>
          <w:rFonts w:ascii="Verdana" w:hAnsi="Verdana"/>
          <w:sz w:val="18"/>
          <w:szCs w:val="18"/>
          <w:shd w:val="clear" w:color="auto" w:fill="F5F5F5"/>
        </w:rPr>
      </w:pPr>
      <w:r w:rsidRPr="00FD6442">
        <w:rPr>
          <w:rFonts w:ascii="Verdana" w:hAnsi="Verdana"/>
          <w:sz w:val="18"/>
          <w:szCs w:val="18"/>
          <w:shd w:val="clear" w:color="auto" w:fill="F5F5F5"/>
        </w:rPr>
        <w:t>Clarification is required regarding the choice of non-work-based WIL and the 30% assessment time in the learning activity table.</w:t>
      </w:r>
    </w:p>
    <w:p w:rsidR="00FD6442" w:rsidRPr="00FD6442" w:rsidRDefault="00FD6442" w:rsidP="00FD6442">
      <w:pPr>
        <w:spacing w:after="0" w:line="240" w:lineRule="auto"/>
        <w:outlineLvl w:val="0"/>
        <w:rPr>
          <w:rFonts w:ascii="Verdana" w:hAnsi="Verdana"/>
          <w:sz w:val="18"/>
          <w:szCs w:val="18"/>
          <w:shd w:val="clear" w:color="auto" w:fill="F5F5F5"/>
        </w:rPr>
      </w:pPr>
    </w:p>
    <w:p w:rsidR="00FD6442" w:rsidRPr="00FD6442" w:rsidRDefault="00FD6442" w:rsidP="00FD6442">
      <w:pPr>
        <w:spacing w:after="0" w:line="240" w:lineRule="auto"/>
        <w:outlineLvl w:val="0"/>
        <w:rPr>
          <w:rFonts w:ascii="Times New Roman" w:eastAsia="Times New Roman" w:hAnsi="Times New Roman" w:cs="Times New Roman"/>
          <w:sz w:val="20"/>
          <w:szCs w:val="20"/>
          <w:lang w:eastAsia="en-GB"/>
        </w:rPr>
      </w:pPr>
      <w:r w:rsidRPr="00FD6442">
        <w:rPr>
          <w:rFonts w:ascii="Verdana" w:hAnsi="Verdana"/>
          <w:sz w:val="18"/>
          <w:szCs w:val="18"/>
          <w:shd w:val="clear" w:color="auto" w:fill="F5F5F5"/>
        </w:rPr>
        <w:t>UCT response:</w:t>
      </w:r>
    </w:p>
    <w:p w:rsidR="00FD6442" w:rsidRPr="00FD6442" w:rsidRDefault="00FD6442" w:rsidP="00FD6442">
      <w:pPr>
        <w:spacing w:after="0" w:line="240" w:lineRule="auto"/>
        <w:outlineLvl w:val="0"/>
        <w:rPr>
          <w:rFonts w:ascii="Times New Roman" w:eastAsia="Times New Roman" w:hAnsi="Times New Roman" w:cs="Times New Roman"/>
          <w:sz w:val="20"/>
          <w:szCs w:val="20"/>
          <w:lang w:eastAsia="en-GB"/>
        </w:rPr>
      </w:pPr>
      <w:r w:rsidRPr="00FD6442">
        <w:rPr>
          <w:rFonts w:ascii="Times New Roman" w:eastAsia="Times New Roman" w:hAnsi="Times New Roman" w:cs="Times New Roman"/>
          <w:sz w:val="20"/>
          <w:szCs w:val="20"/>
          <w:lang w:eastAsia="en-GB"/>
        </w:rPr>
        <w:t xml:space="preserve">As per the DHET definition, 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Students work under supervision until fully registered with the HPCSA as independent practitioners.  Students are constantly exposed to ethical issues and sign a confidentiality agreement and take a professional oath in this regard. The clinical team based at UCT is responsible for placing the student in the practical learning environment. Students are assessed via the qualification assessments.   </w:t>
      </w:r>
    </w:p>
    <w:p w:rsidR="00FD6442" w:rsidRPr="00FD6442" w:rsidRDefault="00FD6442" w:rsidP="00FD6442">
      <w:pPr>
        <w:spacing w:after="0" w:line="240" w:lineRule="auto"/>
        <w:outlineLvl w:val="0"/>
        <w:rPr>
          <w:rFonts w:ascii="Times New Roman" w:eastAsia="Times New Roman" w:hAnsi="Times New Roman" w:cs="Times New Roman"/>
          <w:sz w:val="20"/>
          <w:szCs w:val="20"/>
          <w:lang w:eastAsia="en-GB"/>
        </w:rPr>
      </w:pPr>
      <w:r w:rsidRPr="00FD6442">
        <w:rPr>
          <w:rFonts w:ascii="Times New Roman" w:eastAsia="Times New Roman" w:hAnsi="Times New Roman" w:cs="Times New Roman"/>
          <w:sz w:val="20"/>
          <w:szCs w:val="20"/>
          <w:lang w:eastAsia="en-GB"/>
        </w:rPr>
        <w:br/>
        <w:t xml:space="preserve">Regarding the proportion of time allocated to assessment, it must be noted that this is a professional programme with a substantial clinical component that requires ongoing assessment. In addition to demonstrating advanced scholarship in the discipline via a 62-credit dissertation and assessment of theoretical components, students are assessed for clinical competency via exams, tests and evaluations, including clinical cases and weekly feedback sessions. Thus we feel it is appropriate to allocate 30% of the total learning time to assessments. </w:t>
      </w:r>
    </w:p>
    <w:p w:rsidR="00A27BD3" w:rsidRPr="00FD6442" w:rsidRDefault="00FD6442">
      <w:bookmarkStart w:id="0" w:name="_GoBack"/>
      <w:bookmarkEnd w:id="0"/>
    </w:p>
    <w:sectPr w:rsidR="00A27BD3" w:rsidRPr="00FD64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442"/>
    <w:rsid w:val="00073DFF"/>
    <w:rsid w:val="00287E4A"/>
    <w:rsid w:val="00FD6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1285</Characters>
  <Application>Microsoft Office Word</Application>
  <DocSecurity>0</DocSecurity>
  <Lines>10</Lines>
  <Paragraphs>3</Paragraphs>
  <ScaleCrop>false</ScaleCrop>
  <Company>University of Cape Town</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2015-04-24T07:56:00Z</dcterms:created>
  <dcterms:modified xsi:type="dcterms:W3CDTF">2015-04-24T07:57:00Z</dcterms:modified>
</cp:coreProperties>
</file>