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400" w:type="dxa"/>
        <w:tblInd w:w="93" w:type="dxa"/>
        <w:tblLook w:val="04A0" w:firstRow="1" w:lastRow="0" w:firstColumn="1" w:lastColumn="0" w:noHBand="0" w:noVBand="1"/>
      </w:tblPr>
      <w:tblGrid>
        <w:gridCol w:w="2783"/>
        <w:gridCol w:w="2219"/>
        <w:gridCol w:w="3691"/>
        <w:gridCol w:w="4707"/>
      </w:tblGrid>
      <w:tr w:rsidR="002B6538" w:rsidRPr="00333ABC" w:rsidTr="00333ABC">
        <w:trPr>
          <w:trHeight w:val="2117"/>
        </w:trPr>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3ABC" w:rsidRPr="00333ABC" w:rsidRDefault="00333ABC" w:rsidP="00333ABC">
            <w:pPr>
              <w:spacing w:line="240" w:lineRule="auto"/>
              <w:jc w:val="center"/>
              <w:rPr>
                <w:rFonts w:eastAsia="Times New Roman" w:cs="Times New Roman"/>
                <w:b/>
                <w:color w:val="333333"/>
                <w:sz w:val="24"/>
                <w:szCs w:val="24"/>
                <w:lang w:eastAsia="en-ZA"/>
              </w:rPr>
            </w:pPr>
            <w:r>
              <w:rPr>
                <w:rFonts w:eastAsia="Times New Roman" w:cs="Times New Roman"/>
                <w:b/>
                <w:color w:val="333333"/>
                <w:sz w:val="24"/>
                <w:szCs w:val="24"/>
                <w:lang w:eastAsia="en-ZA"/>
              </w:rPr>
              <w:t>Programme title</w:t>
            </w:r>
          </w:p>
        </w:tc>
        <w:tc>
          <w:tcPr>
            <w:tcW w:w="2043" w:type="dxa"/>
            <w:tcBorders>
              <w:top w:val="single" w:sz="4" w:space="0" w:color="auto"/>
              <w:left w:val="nil"/>
              <w:bottom w:val="single" w:sz="4" w:space="0" w:color="auto"/>
              <w:right w:val="single" w:sz="4" w:space="0" w:color="auto"/>
            </w:tcBorders>
            <w:shd w:val="clear" w:color="auto" w:fill="auto"/>
            <w:vAlign w:val="center"/>
            <w:hideMark/>
          </w:tcPr>
          <w:p w:rsidR="00333ABC" w:rsidRPr="00333ABC" w:rsidRDefault="00333ABC" w:rsidP="00333ABC">
            <w:pPr>
              <w:spacing w:line="240" w:lineRule="auto"/>
              <w:jc w:val="center"/>
              <w:rPr>
                <w:rFonts w:eastAsia="Times New Roman" w:cs="Times New Roman"/>
                <w:b/>
                <w:color w:val="333333"/>
                <w:sz w:val="24"/>
                <w:szCs w:val="24"/>
                <w:lang w:eastAsia="en-ZA"/>
              </w:rPr>
            </w:pPr>
            <w:r>
              <w:rPr>
                <w:rFonts w:eastAsia="Times New Roman" w:cs="Times New Roman"/>
                <w:b/>
                <w:color w:val="333333"/>
                <w:sz w:val="24"/>
                <w:szCs w:val="24"/>
                <w:lang w:eastAsia="en-ZA"/>
              </w:rPr>
              <w:t>Abbreviation</w:t>
            </w:r>
          </w:p>
        </w:tc>
        <w:tc>
          <w:tcPr>
            <w:tcW w:w="3755" w:type="dxa"/>
            <w:tcBorders>
              <w:top w:val="single" w:sz="4" w:space="0" w:color="auto"/>
              <w:left w:val="nil"/>
              <w:bottom w:val="single" w:sz="4" w:space="0" w:color="auto"/>
              <w:right w:val="single" w:sz="4" w:space="0" w:color="auto"/>
            </w:tcBorders>
            <w:shd w:val="clear" w:color="auto" w:fill="auto"/>
            <w:vAlign w:val="center"/>
            <w:hideMark/>
          </w:tcPr>
          <w:p w:rsidR="00333ABC" w:rsidRPr="00333ABC" w:rsidRDefault="00333ABC" w:rsidP="00333ABC">
            <w:pPr>
              <w:spacing w:line="240" w:lineRule="auto"/>
              <w:jc w:val="center"/>
              <w:rPr>
                <w:rFonts w:eastAsia="Times New Roman" w:cs="Times New Roman"/>
                <w:b/>
                <w:color w:val="333333"/>
                <w:sz w:val="24"/>
                <w:szCs w:val="24"/>
                <w:lang w:eastAsia="en-ZA"/>
              </w:rPr>
            </w:pPr>
            <w:r>
              <w:rPr>
                <w:rFonts w:eastAsia="Times New Roman" w:cs="Times New Roman"/>
                <w:b/>
                <w:color w:val="333333"/>
                <w:sz w:val="24"/>
                <w:szCs w:val="24"/>
                <w:lang w:eastAsia="en-ZA"/>
              </w:rPr>
              <w:t>HEQC Feedback</w:t>
            </w:r>
          </w:p>
        </w:tc>
        <w:tc>
          <w:tcPr>
            <w:tcW w:w="4802" w:type="dxa"/>
            <w:tcBorders>
              <w:top w:val="single" w:sz="4" w:space="0" w:color="auto"/>
              <w:left w:val="nil"/>
              <w:bottom w:val="single" w:sz="4" w:space="0" w:color="auto"/>
              <w:right w:val="single" w:sz="4" w:space="0" w:color="auto"/>
            </w:tcBorders>
            <w:shd w:val="clear" w:color="auto" w:fill="auto"/>
            <w:vAlign w:val="center"/>
            <w:hideMark/>
          </w:tcPr>
          <w:p w:rsidR="00333ABC" w:rsidRPr="00333ABC" w:rsidRDefault="00333ABC" w:rsidP="00333ABC">
            <w:pPr>
              <w:spacing w:line="240" w:lineRule="auto"/>
              <w:jc w:val="center"/>
              <w:rPr>
                <w:rFonts w:eastAsia="Times New Roman" w:cs="Times New Roman"/>
                <w:b/>
                <w:color w:val="000000"/>
                <w:sz w:val="24"/>
                <w:szCs w:val="24"/>
                <w:lang w:eastAsia="en-ZA"/>
              </w:rPr>
            </w:pPr>
            <w:r>
              <w:rPr>
                <w:rFonts w:eastAsia="Times New Roman" w:cs="Times New Roman"/>
                <w:b/>
                <w:color w:val="000000"/>
                <w:sz w:val="24"/>
                <w:szCs w:val="24"/>
                <w:lang w:eastAsia="en-ZA"/>
              </w:rPr>
              <w:t>UJ response</w:t>
            </w:r>
          </w:p>
        </w:tc>
      </w:tr>
      <w:tr w:rsidR="002B6538" w:rsidRPr="00333ABC" w:rsidTr="00333ABC">
        <w:trPr>
          <w:trHeight w:val="4740"/>
        </w:trPr>
        <w:tc>
          <w:tcPr>
            <w:tcW w:w="2800" w:type="dxa"/>
            <w:tcBorders>
              <w:top w:val="single" w:sz="4" w:space="0" w:color="auto"/>
              <w:left w:val="single" w:sz="4" w:space="0" w:color="auto"/>
              <w:bottom w:val="single" w:sz="4" w:space="0" w:color="auto"/>
              <w:right w:val="single" w:sz="4" w:space="0" w:color="auto"/>
            </w:tcBorders>
            <w:shd w:val="clear" w:color="auto" w:fill="auto"/>
            <w:hideMark/>
          </w:tcPr>
          <w:p w:rsidR="00333ABC" w:rsidRPr="002B6538" w:rsidRDefault="00333ABC" w:rsidP="002B6538">
            <w:pPr>
              <w:spacing w:line="276" w:lineRule="auto"/>
              <w:jc w:val="left"/>
              <w:rPr>
                <w:rFonts w:eastAsia="Times New Roman" w:cs="Times New Roman"/>
                <w:color w:val="333333"/>
                <w:lang w:eastAsia="en-ZA"/>
              </w:rPr>
            </w:pPr>
            <w:r w:rsidRPr="002B6538">
              <w:rPr>
                <w:rFonts w:eastAsia="Times New Roman" w:cs="Times New Roman"/>
                <w:color w:val="333333"/>
                <w:lang w:eastAsia="en-ZA"/>
              </w:rPr>
              <w:t>AdvCert (Business Management)(Change Management</w:t>
            </w:r>
          </w:p>
        </w:tc>
        <w:tc>
          <w:tcPr>
            <w:tcW w:w="2043" w:type="dxa"/>
            <w:tcBorders>
              <w:top w:val="single" w:sz="4" w:space="0" w:color="auto"/>
              <w:left w:val="nil"/>
              <w:bottom w:val="single" w:sz="4" w:space="0" w:color="auto"/>
              <w:right w:val="single" w:sz="4" w:space="0" w:color="auto"/>
            </w:tcBorders>
            <w:shd w:val="clear" w:color="auto" w:fill="auto"/>
            <w:hideMark/>
          </w:tcPr>
          <w:p w:rsidR="00333ABC" w:rsidRPr="002B6538" w:rsidRDefault="00333ABC" w:rsidP="002B6538">
            <w:pPr>
              <w:spacing w:line="276" w:lineRule="auto"/>
              <w:jc w:val="left"/>
              <w:rPr>
                <w:rFonts w:eastAsia="Times New Roman" w:cs="Times New Roman"/>
                <w:color w:val="333333"/>
                <w:lang w:eastAsia="en-ZA"/>
              </w:rPr>
            </w:pPr>
            <w:r w:rsidRPr="002B6538">
              <w:rPr>
                <w:rFonts w:eastAsia="Times New Roman" w:cs="Times New Roman"/>
                <w:color w:val="333333"/>
                <w:lang w:eastAsia="en-ZA"/>
              </w:rPr>
              <w:t>AdvCert (Business Management)(Change Management</w:t>
            </w:r>
          </w:p>
        </w:tc>
        <w:tc>
          <w:tcPr>
            <w:tcW w:w="3755" w:type="dxa"/>
            <w:tcBorders>
              <w:top w:val="single" w:sz="4" w:space="0" w:color="auto"/>
              <w:left w:val="nil"/>
              <w:bottom w:val="single" w:sz="4" w:space="0" w:color="auto"/>
              <w:right w:val="single" w:sz="4" w:space="0" w:color="auto"/>
            </w:tcBorders>
            <w:shd w:val="clear" w:color="auto" w:fill="auto"/>
            <w:hideMark/>
          </w:tcPr>
          <w:p w:rsidR="00333ABC" w:rsidRPr="002B6538" w:rsidRDefault="00333ABC" w:rsidP="002B6538">
            <w:pPr>
              <w:spacing w:line="276" w:lineRule="auto"/>
              <w:jc w:val="left"/>
              <w:rPr>
                <w:rFonts w:eastAsia="Times New Roman" w:cs="Times New Roman"/>
                <w:color w:val="333333"/>
                <w:lang w:eastAsia="en-ZA"/>
              </w:rPr>
            </w:pPr>
            <w:r w:rsidRPr="002B6538">
              <w:rPr>
                <w:rFonts w:eastAsia="Times New Roman" w:cs="Times New Roman"/>
                <w:color w:val="333333"/>
                <w:lang w:eastAsia="en-ZA"/>
              </w:rPr>
              <w:t>There is no clear evidence that this was a formal approved qualification. From the information that is provided this is a new programme, because according to the qualification rationale under SAQA details this is currently offered as an SLP. Now it's being changed to an Advanced Certificate. There is a huge overlap in the curriculum between this programme and the other two namely Advanced Certificate in Business Management in Risk Management as well as Advanced Certificate in Business Management in Business Analysis. The institution needs to have a deeper engagement and recurriculated these three programmes.</w:t>
            </w:r>
          </w:p>
        </w:tc>
        <w:tc>
          <w:tcPr>
            <w:tcW w:w="4802" w:type="dxa"/>
            <w:tcBorders>
              <w:top w:val="single" w:sz="4" w:space="0" w:color="auto"/>
              <w:left w:val="nil"/>
              <w:bottom w:val="single" w:sz="4" w:space="0" w:color="auto"/>
              <w:right w:val="single" w:sz="4" w:space="0" w:color="auto"/>
            </w:tcBorders>
            <w:shd w:val="clear" w:color="auto" w:fill="auto"/>
            <w:hideMark/>
          </w:tcPr>
          <w:p w:rsidR="002B6538" w:rsidRDefault="002B6538" w:rsidP="002B6538">
            <w:pPr>
              <w:spacing w:line="276" w:lineRule="auto"/>
              <w:jc w:val="left"/>
              <w:rPr>
                <w:rFonts w:eastAsia="Times New Roman" w:cs="Times New Roman"/>
                <w:color w:val="000000"/>
                <w:lang w:eastAsia="en-ZA"/>
              </w:rPr>
            </w:pPr>
            <w:r>
              <w:rPr>
                <w:rFonts w:eastAsia="Times New Roman" w:cs="Times New Roman"/>
                <w:color w:val="000000"/>
                <w:lang w:eastAsia="en-ZA"/>
              </w:rPr>
              <w:t xml:space="preserve">This programme was developed and approved by UJ as a non-subsidised programme. It is currently offered as a non-subsidised whole programme and not as a SLP because it has more than 119 credits. </w:t>
            </w:r>
            <w:r w:rsidR="00333ABC" w:rsidRPr="002B6538">
              <w:rPr>
                <w:rFonts w:eastAsia="Times New Roman" w:cs="Times New Roman"/>
                <w:color w:val="000000"/>
                <w:lang w:eastAsia="en-ZA"/>
              </w:rPr>
              <w:t xml:space="preserve">This is not a SLP programme because it has more than 119 credits. </w:t>
            </w:r>
          </w:p>
          <w:p w:rsidR="002B6538" w:rsidRDefault="002B6538" w:rsidP="002B6538">
            <w:pPr>
              <w:spacing w:line="276" w:lineRule="auto"/>
              <w:jc w:val="left"/>
              <w:rPr>
                <w:rFonts w:eastAsia="Times New Roman" w:cs="Times New Roman"/>
                <w:color w:val="000000"/>
                <w:lang w:eastAsia="en-ZA"/>
              </w:rPr>
            </w:pPr>
          </w:p>
          <w:p w:rsidR="002B6538" w:rsidRDefault="002B6538" w:rsidP="002B6538">
            <w:pPr>
              <w:spacing w:line="276" w:lineRule="auto"/>
              <w:jc w:val="left"/>
              <w:rPr>
                <w:rFonts w:eastAsia="Times New Roman" w:cs="Times New Roman"/>
                <w:color w:val="000000"/>
                <w:lang w:eastAsia="en-ZA"/>
              </w:rPr>
            </w:pPr>
            <w:r>
              <w:rPr>
                <w:rFonts w:eastAsia="Times New Roman" w:cs="Times New Roman"/>
                <w:color w:val="000000"/>
                <w:lang w:eastAsia="en-ZA"/>
              </w:rPr>
              <w:t xml:space="preserve">It was submitted by UJ as a Category B programme in order to align it with the requirements of the HEQSF. </w:t>
            </w:r>
          </w:p>
          <w:p w:rsidR="002B6538" w:rsidRDefault="002B6538" w:rsidP="002B6538">
            <w:pPr>
              <w:spacing w:line="276" w:lineRule="auto"/>
              <w:jc w:val="left"/>
              <w:rPr>
                <w:rFonts w:eastAsia="Times New Roman" w:cs="Times New Roman"/>
                <w:color w:val="000000"/>
                <w:lang w:eastAsia="en-ZA"/>
              </w:rPr>
            </w:pPr>
          </w:p>
          <w:p w:rsidR="00333ABC" w:rsidRPr="002B6538" w:rsidRDefault="002B6538" w:rsidP="002B6538">
            <w:pPr>
              <w:spacing w:line="276" w:lineRule="auto"/>
              <w:jc w:val="left"/>
              <w:rPr>
                <w:rFonts w:eastAsia="Times New Roman" w:cs="Times New Roman"/>
                <w:color w:val="000000"/>
                <w:lang w:eastAsia="en-ZA"/>
              </w:rPr>
            </w:pPr>
            <w:r>
              <w:rPr>
                <w:rFonts w:eastAsia="Times New Roman" w:cs="Times New Roman"/>
                <w:color w:val="000000"/>
                <w:lang w:eastAsia="en-ZA"/>
              </w:rPr>
              <w:t>Although there is an overlap with the two mentioned programme the Faculty is of the opinion that it does not exceed 40%.</w:t>
            </w:r>
            <w:bookmarkStart w:id="0" w:name="_GoBack"/>
            <w:bookmarkEnd w:id="0"/>
          </w:p>
        </w:tc>
      </w:tr>
    </w:tbl>
    <w:p w:rsidR="00B76B18" w:rsidRDefault="00B76B18"/>
    <w:sectPr w:rsidR="00B76B18" w:rsidSect="00333AB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33ABC"/>
    <w:rsid w:val="0021066E"/>
    <w:rsid w:val="002B6538"/>
    <w:rsid w:val="00333ABC"/>
    <w:rsid w:val="008943DB"/>
    <w:rsid w:val="00B76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3E2C9-4D3C-4801-B6C5-D48DDB95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34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2015-04-24T11:07:00Z</dcterms:created>
  <dcterms:modified xsi:type="dcterms:W3CDTF">2015-04-28T07:54:00Z</dcterms:modified>
</cp:coreProperties>
</file>