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0A" w:rsidRPr="00766C85" w:rsidRDefault="0020250A" w:rsidP="0020250A">
      <w:pPr>
        <w:rPr>
          <w:b/>
        </w:rPr>
      </w:pPr>
      <w:r w:rsidRPr="00766C85">
        <w:rPr>
          <w:b/>
        </w:rPr>
        <w:t>Qualification Ref #: CHS</w:t>
      </w:r>
      <w:r>
        <w:rPr>
          <w:b/>
        </w:rPr>
        <w:t>18</w:t>
      </w:r>
      <w:r w:rsidRPr="00766C85">
        <w:rPr>
          <w:b/>
        </w:rPr>
        <w:t xml:space="preserve"> – </w:t>
      </w:r>
      <w:r w:rsidRPr="0020250A">
        <w:rPr>
          <w:b/>
        </w:rPr>
        <w:t>Bachelor of Speech-Language</w:t>
      </w:r>
      <w:r>
        <w:rPr>
          <w:b/>
        </w:rPr>
        <w:t xml:space="preserve"> </w:t>
      </w:r>
      <w:r w:rsidRPr="0020250A">
        <w:rPr>
          <w:b/>
        </w:rPr>
        <w:t>Pathology</w:t>
      </w:r>
    </w:p>
    <w:p w:rsidR="0020250A" w:rsidRDefault="0020250A" w:rsidP="0020250A">
      <w:pPr>
        <w:rPr>
          <w:b/>
        </w:rPr>
      </w:pPr>
    </w:p>
    <w:p w:rsidR="0020250A" w:rsidRPr="00766C85" w:rsidRDefault="0020250A" w:rsidP="0020250A">
      <w:pPr>
        <w:rPr>
          <w:b/>
        </w:rPr>
      </w:pPr>
      <w:r w:rsidRPr="00766C85">
        <w:rPr>
          <w:b/>
        </w:rPr>
        <w:t>CHE Query/Response:</w:t>
      </w:r>
    </w:p>
    <w:p w:rsidR="0020250A" w:rsidRDefault="0020250A" w:rsidP="0020250A">
      <w:pPr>
        <w:rPr>
          <w:sz w:val="20"/>
          <w:szCs w:val="20"/>
        </w:rPr>
      </w:pPr>
      <w:r>
        <w:rPr>
          <w:rFonts w:ascii="Verdana" w:hAnsi="Verdana"/>
          <w:color w:val="333333"/>
          <w:sz w:val="18"/>
          <w:szCs w:val="18"/>
        </w:rPr>
        <w:t xml:space="preserve">The institution should clarify how progression in knowledge will occur over the four years of study and how first year students will meet the demands of the </w:t>
      </w:r>
      <w:proofErr w:type="spellStart"/>
      <w:r>
        <w:rPr>
          <w:rFonts w:ascii="Verdana" w:hAnsi="Verdana"/>
          <w:color w:val="333333"/>
          <w:sz w:val="18"/>
          <w:szCs w:val="18"/>
        </w:rPr>
        <w:t>programme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when modules are only offered at levels 7 and 8.</w:t>
      </w:r>
    </w:p>
    <w:p w:rsidR="0020250A" w:rsidRDefault="0020250A"/>
    <w:tbl>
      <w:tblPr>
        <w:tblW w:w="46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6081"/>
        <w:gridCol w:w="949"/>
        <w:gridCol w:w="863"/>
        <w:gridCol w:w="724"/>
      </w:tblGrid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Name of Module</w:t>
            </w: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Semester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NQF LEVEL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C03139" w:rsidRDefault="004D1A7A" w:rsidP="000211F9">
            <w:pPr>
              <w:spacing w:line="235" w:lineRule="auto"/>
              <w:rPr>
                <w:rFonts w:ascii="Arial" w:hAnsi="Arial" w:cs="Arial"/>
                <w:color w:val="FF0000"/>
                <w:sz w:val="18"/>
                <w:szCs w:val="18"/>
                <w:highlight w:val="yellow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Introduction to Anatomy Head &amp; Neck</w:t>
            </w:r>
          </w:p>
        </w:tc>
        <w:tc>
          <w:tcPr>
            <w:tcW w:w="960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  <w:p w:rsidR="004D1A7A" w:rsidRPr="00C03139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  <w:lang w:eastAsia="en-ZA"/>
              </w:rPr>
            </w:pPr>
          </w:p>
          <w:p w:rsidR="004D1A7A" w:rsidRPr="00C03139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  <w:lang w:eastAsia="en-ZA"/>
              </w:rPr>
            </w:pP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5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Default="004D1A7A" w:rsidP="000211F9">
            <w:pPr>
              <w:spacing w:line="235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Introduction to Human Communication Sciences</w:t>
            </w:r>
            <w:r w:rsidRPr="00E13D9F">
              <w:rPr>
                <w:rFonts w:ascii="Arial" w:hAnsi="Arial" w:cs="Arial"/>
                <w:b/>
                <w:bCs/>
                <w:color w:val="FF0000"/>
                <w:sz w:val="18"/>
                <w:szCs w:val="18"/>
                <w:lang w:eastAsia="en-ZA"/>
              </w:rPr>
              <w:t xml:space="preserve"> 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5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Phonetics and Linguistics</w:t>
            </w:r>
          </w:p>
          <w:p w:rsidR="004D1A7A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bookmarkStart w:id="0" w:name="_GoBack"/>
            <w:bookmarkEnd w:id="0"/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  Anatomy - neuroanatomy</w:t>
            </w: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5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E13D9F">
              <w:rPr>
                <w:rFonts w:ascii="Arial" w:hAnsi="Arial" w:cs="Arial"/>
                <w:color w:val="000000"/>
                <w:sz w:val="18"/>
                <w:szCs w:val="18"/>
              </w:rPr>
              <w:t>Audiological</w:t>
            </w:r>
            <w:proofErr w:type="spellEnd"/>
            <w:r w:rsidRPr="00E13D9F">
              <w:rPr>
                <w:rFonts w:ascii="Arial" w:hAnsi="Arial" w:cs="Arial"/>
                <w:color w:val="000000"/>
                <w:sz w:val="18"/>
                <w:szCs w:val="18"/>
              </w:rPr>
              <w:t xml:space="preserve"> principles and practices for Speech Language Therapists </w:t>
            </w:r>
          </w:p>
          <w:p w:rsidR="004D1A7A" w:rsidRPr="00E13D9F" w:rsidRDefault="004D1A7A" w:rsidP="000211F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4D1A7A" w:rsidRPr="00E13D9F" w:rsidRDefault="004D1A7A" w:rsidP="000211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Default="004D1A7A" w:rsidP="000211F9">
            <w:pPr>
              <w:spacing w:line="235" w:lineRule="auto"/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E13D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Introduction to developmental communication disorders</w:t>
            </w:r>
            <w:r w:rsidRPr="00E13D9F">
              <w:rPr>
                <w:rFonts w:ascii="Arial" w:hAnsi="Arial" w:cs="Arial"/>
                <w:snapToGrid w:val="0"/>
                <w:sz w:val="18"/>
                <w:szCs w:val="18"/>
              </w:rPr>
              <w:t xml:space="preserve">   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autoSpaceDE w:val="0"/>
              <w:autoSpaceDN w:val="0"/>
              <w:adjustRightInd w:val="0"/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Introduction to Psychology B</w:t>
            </w:r>
          </w:p>
          <w:p w:rsidR="004D1A7A" w:rsidRPr="00E13D9F" w:rsidRDefault="004D1A7A" w:rsidP="000211F9">
            <w:pPr>
              <w:autoSpaceDE w:val="0"/>
              <w:autoSpaceDN w:val="0"/>
              <w:adjustRightInd w:val="0"/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5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40" w:lineRule="atLeast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Basic isiZulu languages Studies A</w:t>
            </w:r>
          </w:p>
          <w:p w:rsidR="004D1A7A" w:rsidRPr="00E13D9F" w:rsidRDefault="004D1A7A" w:rsidP="000211F9">
            <w:pPr>
              <w:spacing w:line="240" w:lineRule="atLeast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5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40" w:lineRule="atLeast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Academic Writing</w:t>
            </w:r>
          </w:p>
          <w:p w:rsidR="004D1A7A" w:rsidRPr="00E13D9F" w:rsidRDefault="004D1A7A" w:rsidP="000211F9">
            <w:pPr>
              <w:spacing w:line="240" w:lineRule="atLeast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40" w:lineRule="atLeas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5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jc w:val="righ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Total credits: 1</w:t>
            </w:r>
            <w:r w:rsidRPr="00C129C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vertAlign w:val="superscript"/>
                <w:lang w:eastAsia="en-ZA"/>
              </w:rPr>
              <w:t>st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 xml:space="preserve"> year </w:t>
            </w:r>
          </w:p>
        </w:tc>
        <w:tc>
          <w:tcPr>
            <w:tcW w:w="960" w:type="dxa"/>
          </w:tcPr>
          <w:p w:rsidR="004D1A7A" w:rsidRDefault="004D1A7A" w:rsidP="000211F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873" w:type="dxa"/>
          </w:tcPr>
          <w:p w:rsidR="004D1A7A" w:rsidRPr="00E13D9F" w:rsidRDefault="004D1A7A" w:rsidP="000211F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 xml:space="preserve"> 128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rPr>
                <w:rFonts w:ascii="Arial" w:hAnsi="Arial" w:cs="Arial"/>
                <w:snapToGrid w:val="0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Clinical management of communication related disorders</w:t>
            </w:r>
          </w:p>
          <w:p w:rsidR="004D1A7A" w:rsidRPr="00E13D9F" w:rsidRDefault="004D1A7A" w:rsidP="000211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Developmental Language Disorders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rPr>
                <w:rFonts w:ascii="Arial" w:hAnsi="Arial" w:cs="Arial"/>
                <w:snapToGrid w:val="0"/>
                <w:sz w:val="18"/>
                <w:szCs w:val="18"/>
              </w:rPr>
            </w:pPr>
            <w:r w:rsidRPr="00E13D9F">
              <w:rPr>
                <w:rFonts w:ascii="Arial" w:hAnsi="Arial" w:cs="Arial"/>
                <w:snapToGrid w:val="0"/>
                <w:sz w:val="18"/>
                <w:szCs w:val="18"/>
              </w:rPr>
              <w:t xml:space="preserve">ALTERNATIVE COMMUNICATION AND DEAF CULTURE </w:t>
            </w:r>
          </w:p>
          <w:p w:rsidR="004D1A7A" w:rsidRPr="00E13D9F" w:rsidRDefault="004D1A7A" w:rsidP="000211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Speech Disorders: Cleft, Voice And Fluency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Community Studies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13D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Health And Illness </w:t>
            </w:r>
            <w:proofErr w:type="spellStart"/>
            <w:r w:rsidRPr="00E13D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Behaviour</w:t>
            </w:r>
            <w:proofErr w:type="spellEnd"/>
            <w:r w:rsidRPr="00E13D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F97B07" w:rsidRDefault="004D1A7A" w:rsidP="000211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</w:t>
            </w:r>
            <w:r w:rsidRPr="00F97B0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97B07">
              <w:rPr>
                <w:rFonts w:ascii="Arial" w:hAnsi="Arial" w:cs="Arial"/>
                <w:color w:val="000000"/>
                <w:sz w:val="18"/>
                <w:szCs w:val="18"/>
              </w:rPr>
              <w:t>Audiological</w:t>
            </w:r>
            <w:proofErr w:type="spellEnd"/>
            <w:r w:rsidRPr="00F97B07">
              <w:rPr>
                <w:rFonts w:ascii="Arial" w:hAnsi="Arial" w:cs="Arial"/>
                <w:color w:val="000000"/>
                <w:sz w:val="18"/>
                <w:szCs w:val="18"/>
              </w:rPr>
              <w:t xml:space="preserve"> Assessment For Speech Language Therapists</w:t>
            </w: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 </w:t>
            </w:r>
          </w:p>
          <w:p w:rsidR="004D1A7A" w:rsidRPr="00F97B07" w:rsidRDefault="004D1A7A" w:rsidP="000211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6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Clinical Practice: Speech Sound System Disorders  </w:t>
            </w:r>
          </w:p>
        </w:tc>
        <w:tc>
          <w:tcPr>
            <w:tcW w:w="960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7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Total credits: 2</w:t>
            </w:r>
            <w:r w:rsidRPr="00C129C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vertAlign w:val="superscript"/>
                <w:lang w:eastAsia="en-ZA"/>
              </w:rPr>
              <w:t>nd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 xml:space="preserve"> year</w:t>
            </w: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128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8F6CEA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Aural Rehabilitation for Speech Language Therapists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7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Applied Research Methods for Health Sciences</w:t>
            </w:r>
          </w:p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7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lastRenderedPageBreak/>
              <w:t xml:space="preserve"> Developmental Communication Disorders A</w:t>
            </w:r>
          </w:p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 16</w:t>
            </w:r>
          </w:p>
        </w:tc>
        <w:tc>
          <w:tcPr>
            <w:tcW w:w="732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7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Developmental Communication Disorders B</w:t>
            </w:r>
          </w:p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Acquired Communication Disorders &amp; Dysphagia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A</w:t>
            </w:r>
          </w:p>
          <w:p w:rsidR="004D1A7A" w:rsidRPr="00F97B07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F97B07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F97B07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7</w:t>
            </w:r>
          </w:p>
        </w:tc>
      </w:tr>
      <w:tr w:rsidR="004D1A7A" w:rsidRPr="00AB26E3" w:rsidTr="000211F9">
        <w:trPr>
          <w:jc w:val="center"/>
        </w:trPr>
        <w:tc>
          <w:tcPr>
            <w:tcW w:w="6166" w:type="dxa"/>
          </w:tcPr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Acquired Communication Disorders &amp; Dysphagia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B</w:t>
            </w:r>
          </w:p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2</w:t>
            </w:r>
          </w:p>
        </w:tc>
        <w:tc>
          <w:tcPr>
            <w:tcW w:w="873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 16</w:t>
            </w:r>
          </w:p>
        </w:tc>
        <w:tc>
          <w:tcPr>
            <w:tcW w:w="732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AB26E3" w:rsidTr="000211F9">
        <w:trPr>
          <w:jc w:val="center"/>
        </w:trPr>
        <w:tc>
          <w:tcPr>
            <w:tcW w:w="6166" w:type="dxa"/>
          </w:tcPr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Developmental Language Disorders</w:t>
            </w:r>
          </w:p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b/>
                <w:color w:val="FF0000"/>
                <w:sz w:val="18"/>
                <w:szCs w:val="18"/>
                <w:lang w:eastAsia="en-ZA"/>
              </w:rPr>
              <w:t xml:space="preserve">  </w:t>
            </w:r>
          </w:p>
        </w:tc>
        <w:tc>
          <w:tcPr>
            <w:tcW w:w="960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 16</w:t>
            </w:r>
          </w:p>
        </w:tc>
        <w:tc>
          <w:tcPr>
            <w:tcW w:w="732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7</w:t>
            </w:r>
          </w:p>
        </w:tc>
      </w:tr>
      <w:tr w:rsidR="004D1A7A" w:rsidRPr="00AB26E3" w:rsidTr="000211F9">
        <w:trPr>
          <w:jc w:val="center"/>
        </w:trPr>
        <w:tc>
          <w:tcPr>
            <w:tcW w:w="6166" w:type="dxa"/>
          </w:tcPr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Speech Disorders voice and fluency</w:t>
            </w:r>
          </w:p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 xml:space="preserve"> 16</w:t>
            </w:r>
          </w:p>
        </w:tc>
        <w:tc>
          <w:tcPr>
            <w:tcW w:w="732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Total credits: 3</w:t>
            </w:r>
            <w:r w:rsidRPr="00C129C2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vertAlign w:val="superscript"/>
                <w:lang w:eastAsia="en-ZA"/>
              </w:rPr>
              <w:t>rd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 xml:space="preserve"> year </w:t>
            </w: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128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Special Topics</w:t>
            </w:r>
          </w:p>
          <w:p w:rsidR="004D1A7A" w:rsidRPr="00303378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Initial Assessment</w:t>
            </w:r>
          </w:p>
          <w:p w:rsidR="004D1A7A" w:rsidRPr="00303378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Research Practice</w:t>
            </w:r>
          </w:p>
          <w:p w:rsidR="004D1A7A" w:rsidRPr="00AB26E3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highlight w:val="yellow"/>
                <w:lang w:eastAsia="en-ZA"/>
              </w:rPr>
            </w:pPr>
          </w:p>
        </w:tc>
        <w:tc>
          <w:tcPr>
            <w:tcW w:w="960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sz w:val="18"/>
                <w:szCs w:val="18"/>
                <w:lang w:eastAsia="en-ZA"/>
              </w:rPr>
              <w:t>1 and 2</w:t>
            </w:r>
          </w:p>
        </w:tc>
        <w:tc>
          <w:tcPr>
            <w:tcW w:w="873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AB26E3">
              <w:rPr>
                <w:rFonts w:ascii="Arial" w:hAnsi="Arial" w:cs="Arial"/>
                <w:sz w:val="18"/>
                <w:szCs w:val="18"/>
                <w:lang w:eastAsia="en-ZA"/>
              </w:rPr>
              <w:t>32</w:t>
            </w:r>
          </w:p>
        </w:tc>
        <w:tc>
          <w:tcPr>
            <w:tcW w:w="732" w:type="dxa"/>
          </w:tcPr>
          <w:p w:rsidR="004D1A7A" w:rsidRPr="00AB26E3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Community Based Rehabilitation</w:t>
            </w:r>
          </w:p>
          <w:p w:rsidR="004D1A7A" w:rsidRPr="00303378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Developmental Communication Disorders A</w:t>
            </w:r>
          </w:p>
          <w:p w:rsidR="004D1A7A" w:rsidRPr="00303378" w:rsidRDefault="004D1A7A" w:rsidP="000211F9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Developmental Communication Disorders B</w:t>
            </w:r>
          </w:p>
          <w:p w:rsidR="004D1A7A" w:rsidRPr="00303378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Clinical Practice: Acquired Communication Disorders &amp; Dysphagia</w:t>
            </w:r>
          </w:p>
          <w:p w:rsidR="004D1A7A" w:rsidRPr="00303378" w:rsidRDefault="004D1A7A" w:rsidP="000211F9">
            <w:pPr>
              <w:spacing w:line="235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 or 2</w:t>
            </w: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16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  <w:t>8</w:t>
            </w:r>
          </w:p>
        </w:tc>
      </w:tr>
      <w:tr w:rsidR="004D1A7A" w:rsidRPr="00E13D9F" w:rsidTr="000211F9">
        <w:trPr>
          <w:jc w:val="center"/>
        </w:trPr>
        <w:tc>
          <w:tcPr>
            <w:tcW w:w="6166" w:type="dxa"/>
          </w:tcPr>
          <w:p w:rsidR="004D1A7A" w:rsidRPr="00E13D9F" w:rsidRDefault="004D1A7A" w:rsidP="000211F9">
            <w:pPr>
              <w:spacing w:line="235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Total credits at 4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 xml:space="preserve"> year</w:t>
            </w:r>
          </w:p>
          <w:p w:rsidR="004D1A7A" w:rsidRPr="00E13D9F" w:rsidRDefault="004D1A7A" w:rsidP="000211F9">
            <w:pPr>
              <w:spacing w:line="235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Total credits for the degree</w:t>
            </w:r>
          </w:p>
        </w:tc>
        <w:tc>
          <w:tcPr>
            <w:tcW w:w="960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</w:p>
        </w:tc>
        <w:tc>
          <w:tcPr>
            <w:tcW w:w="873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 w:rsidRPr="00E13D9F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128</w:t>
            </w:r>
          </w:p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lang w:eastAsia="en-ZA"/>
              </w:rPr>
              <w:t>512</w:t>
            </w:r>
          </w:p>
        </w:tc>
        <w:tc>
          <w:tcPr>
            <w:tcW w:w="732" w:type="dxa"/>
          </w:tcPr>
          <w:p w:rsidR="004D1A7A" w:rsidRPr="00E13D9F" w:rsidRDefault="004D1A7A" w:rsidP="000211F9">
            <w:pPr>
              <w:spacing w:line="235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ZA"/>
              </w:rPr>
            </w:pPr>
          </w:p>
        </w:tc>
      </w:tr>
    </w:tbl>
    <w:p w:rsidR="00240F86" w:rsidRDefault="00240F86" w:rsidP="004D1A7A"/>
    <w:sectPr w:rsidR="0024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8A"/>
    <w:rsid w:val="001B0F91"/>
    <w:rsid w:val="0020250A"/>
    <w:rsid w:val="00240F86"/>
    <w:rsid w:val="00306001"/>
    <w:rsid w:val="004D1A7A"/>
    <w:rsid w:val="00616655"/>
    <w:rsid w:val="00831752"/>
    <w:rsid w:val="00917E54"/>
    <w:rsid w:val="00923593"/>
    <w:rsid w:val="00A46C29"/>
    <w:rsid w:val="00AF6BC3"/>
    <w:rsid w:val="00C129C2"/>
    <w:rsid w:val="00DE078A"/>
    <w:rsid w:val="00D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0575D-D081-49BA-BED7-7D5066A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50A"/>
    <w:pPr>
      <w:spacing w:after="0" w:line="240" w:lineRule="auto"/>
    </w:pPr>
    <w:rPr>
      <w:rFonts w:ascii="Arial" w:hAnsi="Arial" w:cs="Arial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Tarryn Zank</cp:lastModifiedBy>
  <cp:revision>5</cp:revision>
  <dcterms:created xsi:type="dcterms:W3CDTF">2015-04-17T13:12:00Z</dcterms:created>
  <dcterms:modified xsi:type="dcterms:W3CDTF">2015-04-17T13:45:00Z</dcterms:modified>
</cp:coreProperties>
</file>