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929" w:rsidRPr="00DC3929" w:rsidRDefault="00DC3929" w:rsidP="00E25CF6">
      <w:pPr>
        <w:rPr>
          <w:b/>
        </w:rPr>
      </w:pPr>
      <w:r w:rsidRPr="00DC3929">
        <w:rPr>
          <w:b/>
        </w:rPr>
        <w:t>BACHELOR OF COMMERCE HONOURS MARKETING  (FMS43)</w:t>
      </w:r>
    </w:p>
    <w:p w:rsidR="00342489" w:rsidRPr="00342489" w:rsidRDefault="00342489" w:rsidP="00E25CF6">
      <w:pPr>
        <w:rPr>
          <w:rFonts w:cs="Times New Roman"/>
          <w:b/>
          <w:sz w:val="24"/>
          <w:szCs w:val="24"/>
        </w:rPr>
      </w:pPr>
      <w:r w:rsidRPr="00342489">
        <w:rPr>
          <w:rFonts w:cs="Times New Roman"/>
          <w:b/>
          <w:sz w:val="24"/>
          <w:szCs w:val="24"/>
        </w:rPr>
        <w:t>CHE Query/Response 1:</w:t>
      </w:r>
    </w:p>
    <w:p w:rsidR="00D75BEC" w:rsidRDefault="00D75BEC" w:rsidP="00E25CF6">
      <w:pPr>
        <w:rPr>
          <w:rFonts w:ascii="Verdana" w:hAnsi="Verdana"/>
          <w:color w:val="333333"/>
          <w:sz w:val="18"/>
          <w:szCs w:val="18"/>
        </w:rPr>
      </w:pPr>
      <w:r>
        <w:rPr>
          <w:rFonts w:ascii="Verdana" w:hAnsi="Verdana"/>
          <w:color w:val="333333"/>
          <w:sz w:val="18"/>
          <w:szCs w:val="18"/>
        </w:rPr>
        <w:t>The institution should provide more detail on its assessment strategy and in particular on which assessments are summative and formative.</w:t>
      </w:r>
    </w:p>
    <w:p w:rsidR="00D75BEC" w:rsidRDefault="00D75BEC" w:rsidP="00E25CF6">
      <w:pPr>
        <w:rPr>
          <w:rFonts w:ascii="Verdana" w:hAnsi="Verdana"/>
          <w:color w:val="333333"/>
          <w:sz w:val="18"/>
          <w:szCs w:val="18"/>
        </w:rPr>
      </w:pPr>
    </w:p>
    <w:p w:rsidR="00E25CF6" w:rsidRDefault="00DC3929" w:rsidP="00E25CF6">
      <w:bookmarkStart w:id="0" w:name="_GoBack"/>
      <w:bookmarkEnd w:id="0"/>
      <w:r>
        <w:t>DISCUSS THE OVERALL ASSESSMENT STRATEGY AND INDICATE THE CONSTRUCTIVE ALIGNMENT OF THE PROGRAMME DSIGN, TEACHING AND LEARNING STRATEGY, AND ASSESSMENT PROCEDURES TO THE LEARNING OUTCOMES</w:t>
      </w:r>
    </w:p>
    <w:p w:rsidR="00DC3929" w:rsidRPr="00DC3929" w:rsidRDefault="00DC3929" w:rsidP="00E25CF6">
      <w:pPr>
        <w:rPr>
          <w:b/>
        </w:rPr>
      </w:pPr>
      <w:r w:rsidRPr="00DC3929">
        <w:rPr>
          <w:b/>
        </w:rPr>
        <w:t>Overall Assessment strategy</w:t>
      </w:r>
    </w:p>
    <w:p w:rsidR="00DC3929" w:rsidRDefault="00DC3929" w:rsidP="00E25CF6">
      <w:r>
        <w:t xml:space="preserve">Each module will be assessed. Formative and summative assessments will be used. </w:t>
      </w:r>
    </w:p>
    <w:p w:rsidR="00DC3929" w:rsidRDefault="00DC3929" w:rsidP="00E25CF6">
      <w:r>
        <w:t xml:space="preserve">The goal of the formative assessment is to monitor student learning by providing ongoing feedback to students in order for them to improve their learning. Formative assessments include </w:t>
      </w:r>
      <w:r w:rsidRPr="00DC3929">
        <w:t>a range of oral and written, group and individual class assignments in order to give students the opportunities to demonstrate a variety of competencies.</w:t>
      </w:r>
    </w:p>
    <w:p w:rsidR="00DC3929" w:rsidRDefault="00DC3929" w:rsidP="00DC3929">
      <w:r>
        <w:t xml:space="preserve">The summative assessments consists of tests and a final exam. A case based approach is used in tests and exams. These assessments require </w:t>
      </w:r>
      <w:r w:rsidRPr="00DC3929">
        <w:t>students to apply their learning in an integrated way to analyse a specific area related to their work context in a work-based assignment and to apply the theoretical frameworks to recommend solutions to identified problem areas. The practitioner research project assesses the ability of students to integrate themes from different modules and apply them appropriately to a real scenario.</w:t>
      </w:r>
    </w:p>
    <w:p w:rsidR="00DC3929" w:rsidRPr="00DC3929" w:rsidRDefault="00DC3929" w:rsidP="00E25CF6">
      <w:pPr>
        <w:rPr>
          <w:b/>
        </w:rPr>
      </w:pPr>
      <w:r w:rsidRPr="00DC3929">
        <w:rPr>
          <w:b/>
        </w:rPr>
        <w:t xml:space="preserve">The outcomes of the programme </w:t>
      </w:r>
      <w:r>
        <w:rPr>
          <w:b/>
        </w:rPr>
        <w:t>are</w:t>
      </w:r>
      <w:r w:rsidRPr="00DC3929">
        <w:rPr>
          <w:b/>
        </w:rPr>
        <w:t>:</w:t>
      </w:r>
    </w:p>
    <w:p w:rsidR="00E25CF6" w:rsidRDefault="00E25CF6" w:rsidP="00E25CF6">
      <w:r>
        <w:t>•</w:t>
      </w:r>
      <w:r>
        <w:tab/>
        <w:t xml:space="preserve">Diagnose and analyse complex marketing situations </w:t>
      </w:r>
    </w:p>
    <w:p w:rsidR="00E25CF6" w:rsidRDefault="00E25CF6" w:rsidP="00E25CF6">
      <w:r>
        <w:t>•</w:t>
      </w:r>
      <w:r>
        <w:tab/>
        <w:t>Synthesize credible and practical solutions for the marketing management context</w:t>
      </w:r>
    </w:p>
    <w:p w:rsidR="00E25CF6" w:rsidRDefault="00E25CF6" w:rsidP="00DC3929">
      <w:pPr>
        <w:ind w:left="720" w:hanging="720"/>
      </w:pPr>
      <w:r>
        <w:t>•</w:t>
      </w:r>
      <w:r>
        <w:tab/>
        <w:t>Display a familiarity with a repertoire of good practice models for marketing management by applying them to real life situations</w:t>
      </w:r>
    </w:p>
    <w:p w:rsidR="00E25CF6" w:rsidRDefault="00E25CF6" w:rsidP="00E25CF6">
      <w:r>
        <w:t>•</w:t>
      </w:r>
      <w:r>
        <w:tab/>
        <w:t>Evaluate changing environments from a marketing management perspective</w:t>
      </w:r>
    </w:p>
    <w:p w:rsidR="00E25CF6" w:rsidRDefault="00E25CF6" w:rsidP="00E25CF6">
      <w:r>
        <w:t>•</w:t>
      </w:r>
      <w:r>
        <w:tab/>
        <w:t>Evaluate the impact of a growing economy from a marketing management perspective</w:t>
      </w:r>
    </w:p>
    <w:p w:rsidR="007C1656" w:rsidRDefault="00E25CF6" w:rsidP="00E25CF6">
      <w:r>
        <w:t>•</w:t>
      </w:r>
      <w:r>
        <w:tab/>
        <w:t>Formulate coherent strategic policies</w:t>
      </w:r>
    </w:p>
    <w:p w:rsidR="005773AE" w:rsidRDefault="005773AE" w:rsidP="00E25CF6"/>
    <w:p w:rsidR="00342489" w:rsidRPr="00342489" w:rsidRDefault="00342489" w:rsidP="00342489">
      <w:pPr>
        <w:rPr>
          <w:rFonts w:cs="Times New Roman"/>
          <w:b/>
          <w:sz w:val="24"/>
          <w:szCs w:val="24"/>
        </w:rPr>
      </w:pPr>
      <w:r w:rsidRPr="00342489">
        <w:rPr>
          <w:rFonts w:cs="Times New Roman"/>
          <w:b/>
          <w:sz w:val="24"/>
          <w:szCs w:val="24"/>
        </w:rPr>
        <w:t xml:space="preserve">CHE Query/Response </w:t>
      </w:r>
      <w:r w:rsidRPr="00342489">
        <w:rPr>
          <w:rFonts w:cs="Times New Roman"/>
          <w:b/>
          <w:sz w:val="24"/>
          <w:szCs w:val="24"/>
        </w:rPr>
        <w:t>2</w:t>
      </w:r>
      <w:r w:rsidRPr="00342489">
        <w:rPr>
          <w:rFonts w:cs="Times New Roman"/>
          <w:b/>
          <w:sz w:val="24"/>
          <w:szCs w:val="24"/>
        </w:rPr>
        <w:t>:</w:t>
      </w:r>
    </w:p>
    <w:p w:rsidR="00342489" w:rsidRDefault="00342489" w:rsidP="00E25CF6">
      <w:r w:rsidRPr="00342489">
        <w:t>For the programme to be offered through contact mode of delivery at least 25% of the time should be allocated to direct contact.</w:t>
      </w:r>
    </w:p>
    <w:p w:rsidR="005773AE" w:rsidRDefault="005773AE" w:rsidP="00E25CF6">
      <w:r>
        <w:t>TYPE OF LEARNING ACTIVITY</w:t>
      </w:r>
    </w:p>
    <w:tbl>
      <w:tblPr>
        <w:tblStyle w:val="TableGrid"/>
        <w:tblW w:w="0" w:type="auto"/>
        <w:tblLook w:val="04A0" w:firstRow="1" w:lastRow="0" w:firstColumn="1" w:lastColumn="0" w:noHBand="0" w:noVBand="1"/>
      </w:tblPr>
      <w:tblGrid>
        <w:gridCol w:w="6799"/>
        <w:gridCol w:w="993"/>
        <w:gridCol w:w="1224"/>
      </w:tblGrid>
      <w:tr w:rsidR="005773AE" w:rsidTr="005773AE">
        <w:tc>
          <w:tcPr>
            <w:tcW w:w="6799" w:type="dxa"/>
          </w:tcPr>
          <w:p w:rsidR="005773AE" w:rsidRPr="005773AE" w:rsidRDefault="005773AE" w:rsidP="00E25CF6">
            <w:pPr>
              <w:rPr>
                <w:b/>
              </w:rPr>
            </w:pPr>
            <w:r w:rsidRPr="005773AE">
              <w:rPr>
                <w:b/>
              </w:rPr>
              <w:t>Type of learning activity</w:t>
            </w:r>
          </w:p>
        </w:tc>
        <w:tc>
          <w:tcPr>
            <w:tcW w:w="993" w:type="dxa"/>
          </w:tcPr>
          <w:p w:rsidR="005773AE" w:rsidRPr="005773AE" w:rsidRDefault="005773AE" w:rsidP="00E25CF6">
            <w:pPr>
              <w:rPr>
                <w:b/>
              </w:rPr>
            </w:pPr>
            <w:r w:rsidRPr="005773AE">
              <w:rPr>
                <w:b/>
              </w:rPr>
              <w:t>HOURS</w:t>
            </w:r>
          </w:p>
        </w:tc>
        <w:tc>
          <w:tcPr>
            <w:tcW w:w="1224" w:type="dxa"/>
          </w:tcPr>
          <w:p w:rsidR="005773AE" w:rsidRPr="005773AE" w:rsidRDefault="005773AE" w:rsidP="00E25CF6">
            <w:pPr>
              <w:rPr>
                <w:b/>
              </w:rPr>
            </w:pPr>
            <w:r w:rsidRPr="005773AE">
              <w:rPr>
                <w:b/>
              </w:rPr>
              <w:t>% OF LEARNING TIME</w:t>
            </w:r>
          </w:p>
        </w:tc>
      </w:tr>
      <w:tr w:rsidR="005773AE" w:rsidTr="005773AE">
        <w:tc>
          <w:tcPr>
            <w:tcW w:w="6799" w:type="dxa"/>
          </w:tcPr>
          <w:p w:rsidR="005773AE" w:rsidRDefault="005773AE" w:rsidP="00E25CF6">
            <w:r>
              <w:lastRenderedPageBreak/>
              <w:t>Direct contact time (Lectures, face to face, limited interaction or technology-assisted, tutorials, syndicate groups)</w:t>
            </w:r>
          </w:p>
        </w:tc>
        <w:tc>
          <w:tcPr>
            <w:tcW w:w="993" w:type="dxa"/>
          </w:tcPr>
          <w:p w:rsidR="005773AE" w:rsidRDefault="005773AE" w:rsidP="00E25CF6">
            <w:r>
              <w:t>320</w:t>
            </w:r>
          </w:p>
        </w:tc>
        <w:tc>
          <w:tcPr>
            <w:tcW w:w="1224" w:type="dxa"/>
          </w:tcPr>
          <w:p w:rsidR="005773AE" w:rsidRDefault="005773AE" w:rsidP="005773AE">
            <w:pPr>
              <w:jc w:val="right"/>
            </w:pPr>
            <w:r>
              <w:t>25</w:t>
            </w:r>
          </w:p>
        </w:tc>
      </w:tr>
      <w:tr w:rsidR="005773AE" w:rsidTr="005773AE">
        <w:tc>
          <w:tcPr>
            <w:tcW w:w="6799" w:type="dxa"/>
          </w:tcPr>
          <w:p w:rsidR="005773AE" w:rsidRDefault="005773AE" w:rsidP="00E25CF6">
            <w:r>
              <w:t>WIL (Practical experiential learning, simulated learning, laboratory work, practicals etc. excluding workplace-based learning)</w:t>
            </w:r>
          </w:p>
        </w:tc>
        <w:tc>
          <w:tcPr>
            <w:tcW w:w="993" w:type="dxa"/>
          </w:tcPr>
          <w:p w:rsidR="005773AE" w:rsidRDefault="005773AE" w:rsidP="00E25CF6">
            <w:r>
              <w:t>0</w:t>
            </w:r>
          </w:p>
        </w:tc>
        <w:tc>
          <w:tcPr>
            <w:tcW w:w="1224" w:type="dxa"/>
          </w:tcPr>
          <w:p w:rsidR="005773AE" w:rsidRDefault="005773AE" w:rsidP="005773AE">
            <w:pPr>
              <w:jc w:val="right"/>
            </w:pPr>
            <w:r>
              <w:t>0</w:t>
            </w:r>
          </w:p>
        </w:tc>
      </w:tr>
      <w:tr w:rsidR="005773AE" w:rsidTr="005773AE">
        <w:tc>
          <w:tcPr>
            <w:tcW w:w="6799" w:type="dxa"/>
          </w:tcPr>
          <w:p w:rsidR="005773AE" w:rsidRDefault="005773AE" w:rsidP="00E25CF6">
            <w:r>
              <w:t>Independent self-study of standard texts and references and specially prepared materials (study guides, books, journal articles, case studies, multi-media)</w:t>
            </w:r>
          </w:p>
        </w:tc>
        <w:tc>
          <w:tcPr>
            <w:tcW w:w="993" w:type="dxa"/>
          </w:tcPr>
          <w:p w:rsidR="005773AE" w:rsidRDefault="005773AE" w:rsidP="00E25CF6">
            <w:r>
              <w:t>0</w:t>
            </w:r>
          </w:p>
        </w:tc>
        <w:tc>
          <w:tcPr>
            <w:tcW w:w="1224" w:type="dxa"/>
          </w:tcPr>
          <w:p w:rsidR="005773AE" w:rsidRDefault="005773AE" w:rsidP="005773AE">
            <w:pPr>
              <w:jc w:val="right"/>
            </w:pPr>
            <w:r>
              <w:t>0</w:t>
            </w:r>
          </w:p>
        </w:tc>
      </w:tr>
      <w:tr w:rsidR="005773AE" w:rsidTr="005773AE">
        <w:tc>
          <w:tcPr>
            <w:tcW w:w="6799" w:type="dxa"/>
          </w:tcPr>
          <w:p w:rsidR="005773AE" w:rsidRDefault="005773AE" w:rsidP="005773AE">
            <w:r>
              <w:t>Assessment</w:t>
            </w:r>
          </w:p>
        </w:tc>
        <w:tc>
          <w:tcPr>
            <w:tcW w:w="993" w:type="dxa"/>
          </w:tcPr>
          <w:p w:rsidR="005773AE" w:rsidRDefault="005773AE" w:rsidP="00E25CF6">
            <w:r>
              <w:t>942</w:t>
            </w:r>
          </w:p>
        </w:tc>
        <w:tc>
          <w:tcPr>
            <w:tcW w:w="1224" w:type="dxa"/>
          </w:tcPr>
          <w:p w:rsidR="005773AE" w:rsidRDefault="005773AE" w:rsidP="005773AE">
            <w:pPr>
              <w:jc w:val="right"/>
            </w:pPr>
            <w:r>
              <w:t>73.59</w:t>
            </w:r>
          </w:p>
        </w:tc>
      </w:tr>
      <w:tr w:rsidR="005773AE" w:rsidTr="005773AE">
        <w:tc>
          <w:tcPr>
            <w:tcW w:w="6799" w:type="dxa"/>
          </w:tcPr>
          <w:p w:rsidR="005773AE" w:rsidRDefault="005773AE" w:rsidP="00E25CF6">
            <w:r>
              <w:t>Other (specify)</w:t>
            </w:r>
          </w:p>
        </w:tc>
        <w:tc>
          <w:tcPr>
            <w:tcW w:w="993" w:type="dxa"/>
          </w:tcPr>
          <w:p w:rsidR="005773AE" w:rsidRDefault="005773AE" w:rsidP="00E25CF6">
            <w:r>
              <w:t>18</w:t>
            </w:r>
          </w:p>
        </w:tc>
        <w:tc>
          <w:tcPr>
            <w:tcW w:w="1224" w:type="dxa"/>
          </w:tcPr>
          <w:p w:rsidR="005773AE" w:rsidRDefault="005773AE" w:rsidP="005773AE">
            <w:pPr>
              <w:jc w:val="right"/>
            </w:pPr>
            <w:r>
              <w:t>1.4</w:t>
            </w:r>
          </w:p>
        </w:tc>
      </w:tr>
      <w:tr w:rsidR="00342489" w:rsidTr="005773AE">
        <w:tc>
          <w:tcPr>
            <w:tcW w:w="6799" w:type="dxa"/>
          </w:tcPr>
          <w:p w:rsidR="00342489" w:rsidRPr="005773AE" w:rsidRDefault="00342489" w:rsidP="00342489">
            <w:pPr>
              <w:rPr>
                <w:b/>
              </w:rPr>
            </w:pPr>
            <w:r w:rsidRPr="005773AE">
              <w:rPr>
                <w:b/>
              </w:rPr>
              <w:t>TOTAL</w:t>
            </w:r>
          </w:p>
        </w:tc>
        <w:tc>
          <w:tcPr>
            <w:tcW w:w="993" w:type="dxa"/>
          </w:tcPr>
          <w:p w:rsidR="00342489" w:rsidRPr="00342489" w:rsidRDefault="00342489" w:rsidP="00342489">
            <w:pPr>
              <w:rPr>
                <w:b/>
              </w:rPr>
            </w:pPr>
            <w:r w:rsidRPr="00342489">
              <w:rPr>
                <w:b/>
              </w:rPr>
              <w:t>1280</w:t>
            </w:r>
          </w:p>
        </w:tc>
        <w:tc>
          <w:tcPr>
            <w:tcW w:w="1224" w:type="dxa"/>
          </w:tcPr>
          <w:p w:rsidR="00342489" w:rsidRPr="00342489" w:rsidRDefault="00342489" w:rsidP="00342489">
            <w:pPr>
              <w:jc w:val="right"/>
              <w:rPr>
                <w:b/>
              </w:rPr>
            </w:pPr>
            <w:r w:rsidRPr="00342489">
              <w:rPr>
                <w:b/>
              </w:rPr>
              <w:t>100</w:t>
            </w:r>
          </w:p>
        </w:tc>
      </w:tr>
    </w:tbl>
    <w:p w:rsidR="005773AE" w:rsidRDefault="005773AE" w:rsidP="006D5C6B"/>
    <w:sectPr w:rsidR="00577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EE7DA3"/>
    <w:multiLevelType w:val="hybridMultilevel"/>
    <w:tmpl w:val="3510067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CF6"/>
    <w:rsid w:val="001F46CF"/>
    <w:rsid w:val="001F7B7E"/>
    <w:rsid w:val="00342489"/>
    <w:rsid w:val="00387D0E"/>
    <w:rsid w:val="005773AE"/>
    <w:rsid w:val="006D5C6B"/>
    <w:rsid w:val="00D75BEC"/>
    <w:rsid w:val="00DC3929"/>
    <w:rsid w:val="00E25C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B4288-1FA0-4041-B0DE-09D28BDC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7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Micheline Juliana Naude</dc:creator>
  <cp:keywords/>
  <dc:description/>
  <cp:lastModifiedBy>Tarryn Zank</cp:lastModifiedBy>
  <cp:revision>5</cp:revision>
  <dcterms:created xsi:type="dcterms:W3CDTF">2015-04-13T09:56:00Z</dcterms:created>
  <dcterms:modified xsi:type="dcterms:W3CDTF">2015-04-13T10:05:00Z</dcterms:modified>
</cp:coreProperties>
</file>