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065" w:rsidRPr="00FD2065" w:rsidRDefault="00FD2065" w:rsidP="00FD2065">
      <w:pPr>
        <w:jc w:val="center"/>
        <w:rPr>
          <w:rFonts w:ascii="Calibri" w:eastAsia="Times New Roman" w:hAnsi="Calibri" w:cs="Times New Roman"/>
          <w:b/>
          <w:sz w:val="28"/>
          <w:szCs w:val="28"/>
          <w:lang w:eastAsia="en-GB"/>
        </w:rPr>
      </w:pPr>
      <w:r w:rsidRPr="00FD2065">
        <w:rPr>
          <w:rFonts w:ascii="Calibri" w:eastAsia="Times New Roman" w:hAnsi="Calibri" w:cs="Times New Roman"/>
          <w:b/>
          <w:sz w:val="28"/>
          <w:szCs w:val="28"/>
          <w:lang w:eastAsia="en-GB"/>
        </w:rPr>
        <w:t>CATEGORY B PROGRAMMES SUBMISSION TO CHE FOR IMPROVEMENTS - MARCH 2015</w:t>
      </w:r>
    </w:p>
    <w:p w:rsidR="00FD2065" w:rsidRPr="00FD2065" w:rsidRDefault="00FD2065" w:rsidP="00FD2065">
      <w:pPr>
        <w:jc w:val="center"/>
        <w:rPr>
          <w:rFonts w:ascii="Calibri" w:eastAsia="Times New Roman" w:hAnsi="Calibri" w:cs="Times New Roman"/>
          <w:b/>
          <w:sz w:val="28"/>
          <w:szCs w:val="28"/>
          <w:lang w:eastAsia="en-GB"/>
        </w:rPr>
      </w:pPr>
    </w:p>
    <w:p w:rsidR="00FD2065" w:rsidRPr="00FD2065" w:rsidRDefault="00FD2065" w:rsidP="00FD2065">
      <w:pPr>
        <w:spacing w:after="0" w:line="240" w:lineRule="auto"/>
        <w:rPr>
          <w:rFonts w:ascii="Calibri" w:eastAsia="Times New Roman" w:hAnsi="Calibri" w:cs="Times New Roman"/>
          <w:sz w:val="28"/>
          <w:szCs w:val="28"/>
          <w:lang w:eastAsia="en-GB"/>
        </w:rPr>
      </w:pPr>
      <w:r w:rsidRPr="00FD2065">
        <w:rPr>
          <w:rFonts w:ascii="Calibri" w:eastAsia="Times New Roman" w:hAnsi="Calibri" w:cs="Times New Roman"/>
          <w:sz w:val="28"/>
          <w:szCs w:val="28"/>
          <w:lang w:eastAsia="en-GB"/>
        </w:rPr>
        <w:t xml:space="preserve">Institution </w:t>
      </w:r>
      <w:r w:rsidRPr="00FD2065">
        <w:rPr>
          <w:rFonts w:ascii="Calibri" w:eastAsia="Times New Roman" w:hAnsi="Calibri" w:cs="Times New Roman"/>
          <w:b/>
          <w:sz w:val="28"/>
          <w:szCs w:val="28"/>
          <w:lang w:eastAsia="en-GB"/>
        </w:rPr>
        <w:t>University of KwaZulu-Natal (H08)</w:t>
      </w:r>
    </w:p>
    <w:p w:rsidR="00FD2065" w:rsidRPr="00FD2065" w:rsidRDefault="00FD2065" w:rsidP="00FD2065">
      <w:pPr>
        <w:spacing w:after="0" w:line="240" w:lineRule="auto"/>
        <w:rPr>
          <w:rFonts w:ascii="Calibri" w:eastAsia="Times New Roman" w:hAnsi="Calibri" w:cs="Times New Roman"/>
          <w:sz w:val="28"/>
          <w:szCs w:val="28"/>
          <w:lang w:eastAsia="en-GB"/>
        </w:rPr>
      </w:pPr>
      <w:r w:rsidRPr="00FD2065">
        <w:rPr>
          <w:rFonts w:ascii="Calibri" w:eastAsia="Times New Roman" w:hAnsi="Calibri" w:cs="Times New Roman"/>
          <w:sz w:val="28"/>
          <w:szCs w:val="28"/>
          <w:lang w:eastAsia="en-GB"/>
        </w:rPr>
        <w:t xml:space="preserve">Qualification reference </w:t>
      </w:r>
      <w:r w:rsidRPr="00FD2065">
        <w:rPr>
          <w:rFonts w:ascii="Calibri" w:eastAsia="Times New Roman" w:hAnsi="Calibri" w:cs="Times New Roman"/>
          <w:b/>
          <w:sz w:val="28"/>
          <w:szCs w:val="28"/>
          <w:lang w:eastAsia="en-GB"/>
        </w:rPr>
        <w:t>Bachelor of Administration (FMS</w:t>
      </w:r>
      <w:r w:rsidR="00A62B0B">
        <w:rPr>
          <w:rFonts w:ascii="Calibri" w:eastAsia="Times New Roman" w:hAnsi="Calibri" w:cs="Times New Roman"/>
          <w:b/>
          <w:sz w:val="28"/>
          <w:szCs w:val="28"/>
          <w:lang w:eastAsia="en-GB"/>
        </w:rPr>
        <w:t>6</w:t>
      </w:r>
      <w:r w:rsidRPr="00FD2065">
        <w:rPr>
          <w:rFonts w:ascii="Calibri" w:eastAsia="Times New Roman" w:hAnsi="Calibri" w:cs="Times New Roman"/>
          <w:b/>
          <w:sz w:val="28"/>
          <w:szCs w:val="28"/>
          <w:lang w:eastAsia="en-GB"/>
        </w:rPr>
        <w:t>)</w:t>
      </w:r>
    </w:p>
    <w:p w:rsidR="00FD2065" w:rsidRPr="00FD2065" w:rsidRDefault="00FD2065" w:rsidP="00FD2065">
      <w:pPr>
        <w:rPr>
          <w:rFonts w:ascii="Calibri" w:eastAsia="Times New Roman" w:hAnsi="Calibri" w:cs="Times New Roman"/>
          <w:lang w:eastAsia="en-GB"/>
        </w:rPr>
      </w:pPr>
    </w:p>
    <w:p w:rsidR="00FD2065" w:rsidRDefault="00FD2065" w:rsidP="00FD2065">
      <w:pPr>
        <w:spacing w:after="0" w:line="240" w:lineRule="auto"/>
        <w:rPr>
          <w:rFonts w:ascii="Calibri" w:eastAsia="Times New Roman" w:hAnsi="Calibri" w:cs="Times New Roman"/>
          <w:b/>
          <w:sz w:val="28"/>
          <w:szCs w:val="28"/>
          <w:lang w:eastAsia="en-GB"/>
        </w:rPr>
      </w:pPr>
      <w:r w:rsidRPr="00FD2065">
        <w:rPr>
          <w:rFonts w:ascii="Calibri" w:eastAsia="Times New Roman" w:hAnsi="Calibri" w:cs="Times New Roman"/>
          <w:b/>
          <w:sz w:val="28"/>
          <w:szCs w:val="28"/>
          <w:lang w:eastAsia="en-GB"/>
        </w:rPr>
        <w:t>CHE COMMENTS:</w:t>
      </w:r>
    </w:p>
    <w:p w:rsidR="00057B58" w:rsidRPr="00FD2065" w:rsidRDefault="00057B58" w:rsidP="00FD2065">
      <w:pPr>
        <w:spacing w:after="0" w:line="240" w:lineRule="auto"/>
        <w:rPr>
          <w:rFonts w:ascii="Calibri" w:eastAsia="Times New Roman" w:hAnsi="Calibri" w:cs="Times New Roman"/>
          <w:b/>
          <w:sz w:val="28"/>
          <w:szCs w:val="28"/>
          <w:lang w:eastAsia="en-GB"/>
        </w:rPr>
      </w:pPr>
    </w:p>
    <w:p w:rsidR="00FD2065" w:rsidRDefault="00FD2065" w:rsidP="00FD2065">
      <w:pPr>
        <w:pStyle w:val="ListParagraph"/>
        <w:numPr>
          <w:ilvl w:val="0"/>
          <w:numId w:val="1"/>
        </w:numPr>
        <w:rPr>
          <w:rFonts w:ascii="Arial" w:hAnsi="Arial" w:cs="Arial"/>
          <w:sz w:val="24"/>
          <w:szCs w:val="24"/>
        </w:rPr>
      </w:pPr>
      <w:r w:rsidRPr="00FD2065">
        <w:rPr>
          <w:rFonts w:ascii="Arial" w:hAnsi="Arial" w:cs="Arial"/>
          <w:sz w:val="24"/>
          <w:szCs w:val="24"/>
        </w:rPr>
        <w:t xml:space="preserve">To ensure continuity and progression in knowledge the institution to offer modules at levels 5, 6 and 7. Currently all modules are offered at level 7. </w:t>
      </w:r>
    </w:p>
    <w:p w:rsidR="00FD2065" w:rsidRDefault="00FD2065" w:rsidP="00FD2065">
      <w:pPr>
        <w:pStyle w:val="ListParagraph"/>
        <w:rPr>
          <w:rFonts w:ascii="Arial" w:hAnsi="Arial" w:cs="Arial"/>
          <w:sz w:val="24"/>
          <w:szCs w:val="24"/>
        </w:rPr>
      </w:pPr>
    </w:p>
    <w:p w:rsidR="008315AD" w:rsidRDefault="00FD2065" w:rsidP="00FD2065">
      <w:pPr>
        <w:pStyle w:val="ListParagraph"/>
        <w:numPr>
          <w:ilvl w:val="0"/>
          <w:numId w:val="1"/>
        </w:numPr>
        <w:rPr>
          <w:rFonts w:ascii="Arial" w:hAnsi="Arial" w:cs="Arial"/>
          <w:sz w:val="24"/>
          <w:szCs w:val="24"/>
        </w:rPr>
      </w:pPr>
      <w:r w:rsidRPr="00FD2065">
        <w:rPr>
          <w:rFonts w:ascii="Arial" w:hAnsi="Arial" w:cs="Arial"/>
          <w:sz w:val="24"/>
          <w:szCs w:val="24"/>
        </w:rPr>
        <w:t>Moreover, the institution should outline an assessment strategy specific to this programme.</w:t>
      </w:r>
    </w:p>
    <w:p w:rsidR="00FD2065" w:rsidRDefault="00992A6C" w:rsidP="00FD2065">
      <w:pPr>
        <w:spacing w:line="240" w:lineRule="auto"/>
        <w:jc w:val="center"/>
        <w:rPr>
          <w:rFonts w:ascii="Calibri" w:eastAsia="Times New Roman" w:hAnsi="Calibri" w:cs="Times New Roman"/>
          <w:b/>
          <w:sz w:val="28"/>
          <w:szCs w:val="28"/>
          <w:u w:val="single"/>
          <w:lang w:eastAsia="en-GB"/>
        </w:rPr>
      </w:pPr>
      <w:r>
        <w:rPr>
          <w:rFonts w:ascii="Calibri" w:eastAsia="Times New Roman" w:hAnsi="Calibri" w:cs="Times New Roman"/>
          <w:b/>
          <w:sz w:val="28"/>
          <w:szCs w:val="28"/>
          <w:u w:val="single"/>
          <w:lang w:eastAsia="en-GB"/>
        </w:rPr>
        <w:t xml:space="preserve">ACTION 1 </w:t>
      </w:r>
    </w:p>
    <w:p w:rsidR="006F2ECE" w:rsidRDefault="006F2ECE" w:rsidP="00FD2065">
      <w:pPr>
        <w:spacing w:line="240" w:lineRule="auto"/>
        <w:jc w:val="center"/>
        <w:rPr>
          <w:rFonts w:ascii="Calibri" w:eastAsia="Times New Roman" w:hAnsi="Calibri" w:cs="Times New Roman"/>
          <w:b/>
          <w:sz w:val="28"/>
          <w:szCs w:val="28"/>
          <w:u w:val="single"/>
          <w:lang w:eastAsia="en-GB"/>
        </w:rPr>
      </w:pPr>
    </w:p>
    <w:tbl>
      <w:tblPr>
        <w:tblW w:w="9548"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00"/>
        <w:gridCol w:w="851"/>
        <w:gridCol w:w="1701"/>
        <w:gridCol w:w="1134"/>
        <w:gridCol w:w="962"/>
      </w:tblGrid>
      <w:tr w:rsidR="0084174D" w:rsidRPr="00842A09" w:rsidTr="0084174D">
        <w:tc>
          <w:tcPr>
            <w:tcW w:w="490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84174D" w:rsidRPr="001D3C89" w:rsidRDefault="0084174D" w:rsidP="007D7D34">
            <w:pPr>
              <w:spacing w:after="0"/>
              <w:jc w:val="center"/>
              <w:rPr>
                <w:rFonts w:eastAsia="Times New Roman" w:cs="Times New Roman"/>
                <w:b/>
                <w:sz w:val="20"/>
                <w:szCs w:val="20"/>
              </w:rPr>
            </w:pPr>
            <w:r w:rsidRPr="001D3C89">
              <w:rPr>
                <w:rFonts w:eastAsia="Times New Roman" w:cstheme="minorHAnsi"/>
                <w:b/>
                <w:sz w:val="20"/>
                <w:szCs w:val="20"/>
              </w:rPr>
              <w:t xml:space="preserve">Title of all modules </w:t>
            </w:r>
          </w:p>
        </w:tc>
        <w:tc>
          <w:tcPr>
            <w:tcW w:w="85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4174D" w:rsidRPr="001D3C89" w:rsidRDefault="0084174D" w:rsidP="007D7D34">
            <w:pPr>
              <w:spacing w:after="0"/>
              <w:jc w:val="center"/>
              <w:rPr>
                <w:rFonts w:eastAsia="Times New Roman" w:cs="Times New Roman"/>
                <w:b/>
                <w:sz w:val="20"/>
                <w:szCs w:val="20"/>
              </w:rPr>
            </w:pPr>
            <w:r w:rsidRPr="001D3C89">
              <w:rPr>
                <w:rFonts w:eastAsia="Times New Roman" w:cs="Times New Roman"/>
                <w:b/>
                <w:sz w:val="20"/>
                <w:szCs w:val="20"/>
              </w:rPr>
              <w:t>Year level</w:t>
            </w:r>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4174D" w:rsidRPr="001D3C89" w:rsidRDefault="0084174D" w:rsidP="007D7D34">
            <w:pPr>
              <w:spacing w:after="0"/>
              <w:jc w:val="center"/>
              <w:rPr>
                <w:rFonts w:eastAsia="Times New Roman" w:cs="Times New Roman"/>
                <w:b/>
                <w:sz w:val="20"/>
                <w:szCs w:val="20"/>
              </w:rPr>
            </w:pPr>
            <w:r w:rsidRPr="001D3C89">
              <w:rPr>
                <w:rFonts w:eastAsia="Times New Roman" w:cstheme="minorHAnsi"/>
                <w:b/>
                <w:sz w:val="20"/>
                <w:szCs w:val="20"/>
              </w:rPr>
              <w:t>Compulsory (C)/</w:t>
            </w:r>
          </w:p>
          <w:p w:rsidR="0084174D" w:rsidRPr="001D3C89" w:rsidRDefault="0084174D" w:rsidP="007D7D34">
            <w:pPr>
              <w:spacing w:after="0"/>
              <w:jc w:val="center"/>
              <w:rPr>
                <w:rFonts w:eastAsia="Times New Roman" w:cs="Times New Roman"/>
                <w:b/>
                <w:sz w:val="20"/>
                <w:szCs w:val="20"/>
              </w:rPr>
            </w:pPr>
            <w:r w:rsidRPr="001D3C89">
              <w:rPr>
                <w:rFonts w:eastAsia="Times New Roman" w:cstheme="minorHAnsi"/>
                <w:b/>
                <w:sz w:val="20"/>
                <w:szCs w:val="20"/>
              </w:rPr>
              <w:t>Elective (E)</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4174D" w:rsidRPr="001D3C89" w:rsidRDefault="0084174D" w:rsidP="007D7D34">
            <w:pPr>
              <w:spacing w:after="0"/>
              <w:jc w:val="center"/>
              <w:rPr>
                <w:rFonts w:eastAsia="Times New Roman" w:cs="Times New Roman"/>
                <w:b/>
                <w:sz w:val="20"/>
                <w:szCs w:val="20"/>
              </w:rPr>
            </w:pPr>
            <w:r w:rsidRPr="001D3C89">
              <w:rPr>
                <w:rFonts w:eastAsia="Times New Roman" w:cstheme="minorHAnsi"/>
                <w:b/>
                <w:sz w:val="20"/>
                <w:szCs w:val="20"/>
              </w:rPr>
              <w:t>NQF level</w:t>
            </w:r>
          </w:p>
        </w:tc>
        <w:tc>
          <w:tcPr>
            <w:tcW w:w="96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84174D" w:rsidRPr="001D3C89" w:rsidRDefault="0084174D" w:rsidP="007D7D34">
            <w:pPr>
              <w:spacing w:after="0"/>
              <w:jc w:val="center"/>
              <w:rPr>
                <w:rFonts w:eastAsia="Times New Roman" w:cs="Times New Roman"/>
                <w:b/>
                <w:sz w:val="20"/>
                <w:szCs w:val="20"/>
              </w:rPr>
            </w:pPr>
            <w:r w:rsidRPr="001D3C89">
              <w:rPr>
                <w:rFonts w:eastAsia="Times New Roman" w:cstheme="minorHAnsi"/>
                <w:b/>
                <w:sz w:val="20"/>
                <w:szCs w:val="20"/>
              </w:rPr>
              <w:t>Credits</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rPr>
                <w:rFonts w:eastAsia="Times New Roman" w:cs="Times New Roman"/>
                <w:sz w:val="20"/>
                <w:szCs w:val="20"/>
              </w:rPr>
            </w:pPr>
            <w:r w:rsidRPr="00842A09">
              <w:rPr>
                <w:rFonts w:eastAsia="Times New Roman" w:cs="Times New Roman"/>
                <w:sz w:val="20"/>
                <w:szCs w:val="20"/>
              </w:rPr>
              <w:t>BBAP1MS Management Science 101</w:t>
            </w:r>
          </w:p>
        </w:tc>
        <w:tc>
          <w:tcPr>
            <w:tcW w:w="85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Pr>
                <w:rFonts w:eastAsia="Times New Roman" w:cs="Times New Roman"/>
                <w:sz w:val="20"/>
                <w:szCs w:val="20"/>
              </w:rPr>
              <w:t>1</w:t>
            </w:r>
          </w:p>
        </w:tc>
        <w:tc>
          <w:tcPr>
            <w:tcW w:w="170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C</w:t>
            </w:r>
          </w:p>
        </w:tc>
        <w:tc>
          <w:tcPr>
            <w:tcW w:w="1134"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5</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rPr>
                <w:rFonts w:eastAsia="Times New Roman" w:cs="Times New Roman"/>
                <w:sz w:val="20"/>
                <w:szCs w:val="20"/>
              </w:rPr>
            </w:pPr>
            <w:r w:rsidRPr="00842A09">
              <w:rPr>
                <w:rFonts w:eastAsia="Times New Roman" w:cs="Times New Roman"/>
                <w:sz w:val="20"/>
                <w:szCs w:val="20"/>
              </w:rPr>
              <w:t>MGNT102 Management 120</w:t>
            </w:r>
          </w:p>
        </w:tc>
        <w:tc>
          <w:tcPr>
            <w:tcW w:w="85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Pr>
                <w:rFonts w:eastAsia="Times New Roman" w:cs="Times New Roman"/>
                <w:sz w:val="20"/>
                <w:szCs w:val="20"/>
              </w:rPr>
              <w:t>1</w:t>
            </w:r>
          </w:p>
        </w:tc>
        <w:tc>
          <w:tcPr>
            <w:tcW w:w="170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C</w:t>
            </w:r>
          </w:p>
        </w:tc>
        <w:tc>
          <w:tcPr>
            <w:tcW w:w="1134"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5</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rPr>
                <w:rFonts w:eastAsia="Times New Roman" w:cs="Times New Roman"/>
                <w:sz w:val="20"/>
                <w:szCs w:val="20"/>
              </w:rPr>
            </w:pPr>
            <w:r w:rsidRPr="00842A09">
              <w:rPr>
                <w:rFonts w:eastAsia="Times New Roman" w:cs="Times New Roman"/>
                <w:sz w:val="20"/>
                <w:szCs w:val="20"/>
              </w:rPr>
              <w:t>PADM1B0 Introduction to Public Management</w:t>
            </w:r>
          </w:p>
        </w:tc>
        <w:tc>
          <w:tcPr>
            <w:tcW w:w="85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Pr>
                <w:rFonts w:eastAsia="Times New Roman" w:cs="Times New Roman"/>
                <w:sz w:val="20"/>
                <w:szCs w:val="20"/>
              </w:rPr>
              <w:t>1</w:t>
            </w:r>
          </w:p>
        </w:tc>
        <w:tc>
          <w:tcPr>
            <w:tcW w:w="170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C</w:t>
            </w:r>
          </w:p>
        </w:tc>
        <w:tc>
          <w:tcPr>
            <w:tcW w:w="1134"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5</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rPr>
                <w:rFonts w:eastAsia="Times New Roman" w:cs="Times New Roman"/>
                <w:sz w:val="20"/>
                <w:szCs w:val="20"/>
              </w:rPr>
            </w:pPr>
            <w:r w:rsidRPr="00842A09">
              <w:rPr>
                <w:rFonts w:eastAsia="Times New Roman" w:cs="Times New Roman"/>
                <w:sz w:val="20"/>
                <w:szCs w:val="20"/>
              </w:rPr>
              <w:t>PADM1CO</w:t>
            </w:r>
            <w:r>
              <w:rPr>
                <w:rFonts w:eastAsia="Times New Roman" w:cs="Times New Roman"/>
                <w:sz w:val="20"/>
                <w:szCs w:val="20"/>
              </w:rPr>
              <w:t xml:space="preserve"> </w:t>
            </w:r>
            <w:r w:rsidRPr="00842A09">
              <w:rPr>
                <w:rFonts w:eastAsia="Times New Roman" w:cs="Times New Roman"/>
                <w:sz w:val="20"/>
                <w:szCs w:val="20"/>
              </w:rPr>
              <w:t>Introduction to Public Administration</w:t>
            </w:r>
          </w:p>
        </w:tc>
        <w:tc>
          <w:tcPr>
            <w:tcW w:w="85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Pr>
                <w:rFonts w:eastAsia="Times New Roman" w:cs="Times New Roman"/>
                <w:sz w:val="20"/>
                <w:szCs w:val="20"/>
              </w:rPr>
              <w:t>1</w:t>
            </w:r>
          </w:p>
        </w:tc>
        <w:tc>
          <w:tcPr>
            <w:tcW w:w="170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C</w:t>
            </w:r>
          </w:p>
        </w:tc>
        <w:tc>
          <w:tcPr>
            <w:tcW w:w="1134"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5</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rPr>
                <w:rFonts w:eastAsia="Times New Roman" w:cs="Times New Roman"/>
                <w:sz w:val="20"/>
                <w:szCs w:val="20"/>
              </w:rPr>
            </w:pPr>
            <w:r w:rsidRPr="00842A09">
              <w:rPr>
                <w:rFonts w:eastAsia="Times New Roman" w:cs="Times New Roman"/>
                <w:sz w:val="20"/>
                <w:szCs w:val="20"/>
              </w:rPr>
              <w:t>ACCT103 Accounting 103</w:t>
            </w:r>
          </w:p>
        </w:tc>
        <w:tc>
          <w:tcPr>
            <w:tcW w:w="85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Pr>
                <w:rFonts w:eastAsia="Times New Roman" w:cs="Times New Roman"/>
                <w:sz w:val="20"/>
                <w:szCs w:val="20"/>
              </w:rPr>
              <w:t>1</w:t>
            </w:r>
          </w:p>
        </w:tc>
        <w:tc>
          <w:tcPr>
            <w:tcW w:w="170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bookmarkStart w:id="0" w:name="_GoBack"/>
            <w:bookmarkEnd w:id="0"/>
            <w:r w:rsidRPr="00842A09">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5</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rPr>
                <w:rFonts w:eastAsia="Times New Roman" w:cs="Times New Roman"/>
                <w:sz w:val="20"/>
                <w:szCs w:val="20"/>
              </w:rPr>
            </w:pPr>
            <w:r w:rsidRPr="00842A09">
              <w:rPr>
                <w:rFonts w:eastAsia="Times New Roman" w:cs="Times New Roman"/>
                <w:sz w:val="20"/>
                <w:szCs w:val="20"/>
              </w:rPr>
              <w:t>ECON101 Principles of Microeconomics</w:t>
            </w:r>
          </w:p>
        </w:tc>
        <w:tc>
          <w:tcPr>
            <w:tcW w:w="85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Pr>
                <w:rFonts w:eastAsia="Times New Roman" w:cs="Times New Roman"/>
                <w:sz w:val="20"/>
                <w:szCs w:val="20"/>
              </w:rPr>
              <w:t>1</w:t>
            </w:r>
          </w:p>
        </w:tc>
        <w:tc>
          <w:tcPr>
            <w:tcW w:w="170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5</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rPr>
                <w:rFonts w:eastAsia="Times New Roman" w:cs="Times New Roman"/>
                <w:sz w:val="20"/>
                <w:szCs w:val="20"/>
              </w:rPr>
            </w:pPr>
            <w:r w:rsidRPr="00842A09">
              <w:rPr>
                <w:rFonts w:eastAsia="Times New Roman" w:cs="Times New Roman"/>
                <w:sz w:val="20"/>
                <w:szCs w:val="20"/>
              </w:rPr>
              <w:t>ECON102 Principles of Macroeconomics</w:t>
            </w:r>
          </w:p>
        </w:tc>
        <w:tc>
          <w:tcPr>
            <w:tcW w:w="85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Pr>
                <w:rFonts w:eastAsia="Times New Roman" w:cs="Times New Roman"/>
                <w:sz w:val="20"/>
                <w:szCs w:val="20"/>
              </w:rPr>
              <w:t>1</w:t>
            </w:r>
          </w:p>
        </w:tc>
        <w:tc>
          <w:tcPr>
            <w:tcW w:w="170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5</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rPr>
                <w:rFonts w:eastAsia="Times New Roman" w:cs="Times New Roman"/>
                <w:sz w:val="20"/>
                <w:szCs w:val="20"/>
              </w:rPr>
            </w:pPr>
            <w:r w:rsidRPr="00842A09">
              <w:rPr>
                <w:rFonts w:eastAsia="Times New Roman" w:cs="Times New Roman"/>
                <w:sz w:val="20"/>
                <w:szCs w:val="20"/>
              </w:rPr>
              <w:t>ECON1CO Elementary Microeconomics</w:t>
            </w:r>
          </w:p>
        </w:tc>
        <w:tc>
          <w:tcPr>
            <w:tcW w:w="85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Pr>
                <w:rFonts w:eastAsia="Times New Roman" w:cs="Times New Roman"/>
                <w:sz w:val="20"/>
                <w:szCs w:val="20"/>
              </w:rPr>
              <w:t>1</w:t>
            </w:r>
          </w:p>
        </w:tc>
        <w:tc>
          <w:tcPr>
            <w:tcW w:w="170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5</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rPr>
                <w:rFonts w:eastAsia="Times New Roman" w:cs="Times New Roman"/>
                <w:sz w:val="20"/>
                <w:szCs w:val="20"/>
              </w:rPr>
            </w:pPr>
            <w:r w:rsidRPr="00842A09">
              <w:rPr>
                <w:rFonts w:eastAsia="Times New Roman" w:cs="Times New Roman"/>
                <w:sz w:val="20"/>
                <w:szCs w:val="20"/>
              </w:rPr>
              <w:t>ECON1D0 Elementary Macroeconomics</w:t>
            </w:r>
          </w:p>
        </w:tc>
        <w:tc>
          <w:tcPr>
            <w:tcW w:w="85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Pr>
                <w:rFonts w:eastAsia="Times New Roman" w:cs="Times New Roman"/>
                <w:sz w:val="20"/>
                <w:szCs w:val="20"/>
              </w:rPr>
              <w:t>1</w:t>
            </w:r>
          </w:p>
        </w:tc>
        <w:tc>
          <w:tcPr>
            <w:tcW w:w="170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5</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rPr>
                <w:rFonts w:eastAsia="Times New Roman" w:cs="Times New Roman"/>
                <w:sz w:val="20"/>
                <w:szCs w:val="20"/>
              </w:rPr>
            </w:pPr>
            <w:r w:rsidRPr="002F5AC4">
              <w:rPr>
                <w:rFonts w:eastAsia="Times New Roman" w:cs="Times New Roman"/>
                <w:sz w:val="20"/>
                <w:szCs w:val="20"/>
              </w:rPr>
              <w:t>FINR104 Financial Reporting 1 A</w:t>
            </w:r>
          </w:p>
        </w:tc>
        <w:tc>
          <w:tcPr>
            <w:tcW w:w="85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1</w:t>
            </w:r>
          </w:p>
        </w:tc>
        <w:tc>
          <w:tcPr>
            <w:tcW w:w="170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Pr>
                <w:rFonts w:eastAsia="Times New Roman" w:cs="Times New Roman"/>
                <w:sz w:val="20"/>
                <w:szCs w:val="20"/>
              </w:rPr>
              <w:t>5</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rPr>
                <w:rFonts w:eastAsia="Times New Roman" w:cs="Times New Roman"/>
                <w:sz w:val="20"/>
                <w:szCs w:val="20"/>
              </w:rPr>
            </w:pPr>
            <w:r w:rsidRPr="00842A09">
              <w:rPr>
                <w:rFonts w:eastAsia="Times New Roman" w:cs="Times New Roman"/>
                <w:sz w:val="20"/>
                <w:szCs w:val="20"/>
              </w:rPr>
              <w:t>HRMG1A0 Introduction to Individual Behaviour and HRM</w:t>
            </w:r>
          </w:p>
        </w:tc>
        <w:tc>
          <w:tcPr>
            <w:tcW w:w="85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Pr>
                <w:rFonts w:eastAsia="Times New Roman" w:cs="Times New Roman"/>
                <w:sz w:val="20"/>
                <w:szCs w:val="20"/>
              </w:rPr>
              <w:t>1</w:t>
            </w:r>
          </w:p>
        </w:tc>
        <w:tc>
          <w:tcPr>
            <w:tcW w:w="170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5</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rPr>
                <w:rFonts w:eastAsia="Times New Roman" w:cs="Times New Roman"/>
                <w:sz w:val="20"/>
                <w:szCs w:val="20"/>
              </w:rPr>
            </w:pPr>
            <w:r w:rsidRPr="00842A09">
              <w:rPr>
                <w:rFonts w:eastAsia="Times New Roman" w:cs="Times New Roman"/>
                <w:sz w:val="20"/>
                <w:szCs w:val="20"/>
              </w:rPr>
              <w:t>HRMG1C0 Principles of Social Behaviour &amp; Group Dynamics</w:t>
            </w:r>
          </w:p>
        </w:tc>
        <w:tc>
          <w:tcPr>
            <w:tcW w:w="85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Pr>
                <w:rFonts w:eastAsia="Times New Roman" w:cs="Times New Roman"/>
                <w:sz w:val="20"/>
                <w:szCs w:val="20"/>
              </w:rPr>
              <w:t>1</w:t>
            </w:r>
          </w:p>
        </w:tc>
        <w:tc>
          <w:tcPr>
            <w:tcW w:w="170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5</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rPr>
                <w:rFonts w:eastAsia="Times New Roman" w:cs="Times New Roman"/>
                <w:sz w:val="20"/>
                <w:szCs w:val="20"/>
              </w:rPr>
            </w:pPr>
            <w:r w:rsidRPr="00842A09">
              <w:rPr>
                <w:rFonts w:eastAsia="Times New Roman" w:cs="Times New Roman"/>
                <w:sz w:val="20"/>
                <w:szCs w:val="20"/>
              </w:rPr>
              <w:t>ISTN100 End User Computing</w:t>
            </w:r>
          </w:p>
        </w:tc>
        <w:tc>
          <w:tcPr>
            <w:tcW w:w="85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Pr>
                <w:rFonts w:eastAsia="Times New Roman" w:cs="Times New Roman"/>
                <w:sz w:val="20"/>
                <w:szCs w:val="20"/>
              </w:rPr>
              <w:t>1</w:t>
            </w:r>
          </w:p>
        </w:tc>
        <w:tc>
          <w:tcPr>
            <w:tcW w:w="170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5</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rPr>
                <w:rFonts w:eastAsia="Times New Roman" w:cs="Times New Roman"/>
                <w:sz w:val="20"/>
                <w:szCs w:val="20"/>
              </w:rPr>
            </w:pPr>
            <w:r w:rsidRPr="002F5AC4">
              <w:rPr>
                <w:rFonts w:eastAsia="Times New Roman" w:cs="Times New Roman"/>
                <w:sz w:val="20"/>
                <w:szCs w:val="20"/>
              </w:rPr>
              <w:t>ISTN101 IS &amp; T for Business</w:t>
            </w:r>
          </w:p>
        </w:tc>
        <w:tc>
          <w:tcPr>
            <w:tcW w:w="85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1</w:t>
            </w:r>
          </w:p>
        </w:tc>
        <w:tc>
          <w:tcPr>
            <w:tcW w:w="170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Pr>
                <w:rFonts w:eastAsia="Times New Roman" w:cs="Times New Roman"/>
                <w:sz w:val="20"/>
                <w:szCs w:val="20"/>
              </w:rPr>
              <w:t>5</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rPr>
                <w:rFonts w:eastAsia="Times New Roman" w:cs="Times New Roman"/>
                <w:sz w:val="20"/>
                <w:szCs w:val="20"/>
              </w:rPr>
            </w:pPr>
            <w:r w:rsidRPr="002F5AC4">
              <w:rPr>
                <w:rFonts w:eastAsia="Times New Roman" w:cs="Times New Roman"/>
                <w:sz w:val="20"/>
                <w:szCs w:val="20"/>
              </w:rPr>
              <w:t>ISTN102 IS &amp; T Development Fundamentals</w:t>
            </w:r>
          </w:p>
        </w:tc>
        <w:tc>
          <w:tcPr>
            <w:tcW w:w="85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1</w:t>
            </w:r>
          </w:p>
        </w:tc>
        <w:tc>
          <w:tcPr>
            <w:tcW w:w="170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Pr>
                <w:rFonts w:eastAsia="Times New Roman" w:cs="Times New Roman"/>
                <w:sz w:val="20"/>
                <w:szCs w:val="20"/>
              </w:rPr>
              <w:t>5</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rPr>
                <w:rFonts w:eastAsia="Times New Roman" w:cs="Times New Roman"/>
                <w:sz w:val="20"/>
                <w:szCs w:val="20"/>
              </w:rPr>
            </w:pPr>
            <w:r w:rsidRPr="002F5AC4">
              <w:rPr>
                <w:rFonts w:eastAsia="Times New Roman" w:cs="Times New Roman"/>
                <w:sz w:val="20"/>
                <w:szCs w:val="20"/>
              </w:rPr>
              <w:t>ISTN103 Development and Applications Fundamentals</w:t>
            </w:r>
          </w:p>
        </w:tc>
        <w:tc>
          <w:tcPr>
            <w:tcW w:w="85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1</w:t>
            </w:r>
          </w:p>
        </w:tc>
        <w:tc>
          <w:tcPr>
            <w:tcW w:w="170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Pr>
                <w:rFonts w:eastAsia="Times New Roman" w:cs="Times New Roman"/>
                <w:sz w:val="20"/>
                <w:szCs w:val="20"/>
              </w:rPr>
              <w:t>5</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rPr>
                <w:rFonts w:eastAsia="Times New Roman" w:cs="Times New Roman"/>
                <w:sz w:val="20"/>
                <w:szCs w:val="20"/>
              </w:rPr>
            </w:pPr>
            <w:r w:rsidRPr="00842A09">
              <w:rPr>
                <w:rFonts w:eastAsia="Times New Roman" w:cs="Times New Roman"/>
                <w:sz w:val="20"/>
                <w:szCs w:val="20"/>
              </w:rPr>
              <w:t>ZULN101 Basic isiZulu Language Studies A</w:t>
            </w:r>
          </w:p>
        </w:tc>
        <w:tc>
          <w:tcPr>
            <w:tcW w:w="85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Pr>
                <w:rFonts w:eastAsia="Times New Roman" w:cs="Times New Roman"/>
                <w:sz w:val="20"/>
                <w:szCs w:val="20"/>
              </w:rPr>
              <w:t>1</w:t>
            </w:r>
          </w:p>
        </w:tc>
        <w:tc>
          <w:tcPr>
            <w:tcW w:w="170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5</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rPr>
                <w:rFonts w:eastAsia="Times New Roman" w:cs="Times New Roman"/>
                <w:sz w:val="20"/>
                <w:szCs w:val="20"/>
              </w:rPr>
            </w:pPr>
            <w:r w:rsidRPr="00842A09">
              <w:rPr>
                <w:rFonts w:eastAsia="Times New Roman" w:cs="Times New Roman"/>
                <w:sz w:val="20"/>
                <w:szCs w:val="20"/>
              </w:rPr>
              <w:t>PADM2A0 Introduction to Local Government</w:t>
            </w:r>
          </w:p>
        </w:tc>
        <w:tc>
          <w:tcPr>
            <w:tcW w:w="85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Pr>
                <w:rFonts w:eastAsia="Times New Roman" w:cs="Times New Roman"/>
                <w:sz w:val="20"/>
                <w:szCs w:val="20"/>
              </w:rPr>
              <w:t>2</w:t>
            </w:r>
          </w:p>
        </w:tc>
        <w:tc>
          <w:tcPr>
            <w:tcW w:w="170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Pr>
                <w:rFonts w:eastAsia="Times New Roman" w:cs="Times New Roman"/>
                <w:sz w:val="20"/>
                <w:szCs w:val="20"/>
              </w:rPr>
              <w:t>C</w:t>
            </w:r>
          </w:p>
        </w:tc>
        <w:tc>
          <w:tcPr>
            <w:tcW w:w="1134"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6</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rPr>
                <w:rFonts w:eastAsia="Times New Roman" w:cs="Times New Roman"/>
                <w:sz w:val="20"/>
                <w:szCs w:val="20"/>
              </w:rPr>
            </w:pPr>
            <w:r w:rsidRPr="00842A09">
              <w:rPr>
                <w:rFonts w:eastAsia="Times New Roman" w:cs="Times New Roman"/>
                <w:sz w:val="20"/>
                <w:szCs w:val="20"/>
              </w:rPr>
              <w:t>PADM2B0 Introduction to Public Sector HRM</w:t>
            </w:r>
          </w:p>
        </w:tc>
        <w:tc>
          <w:tcPr>
            <w:tcW w:w="85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Pr>
                <w:rFonts w:eastAsia="Times New Roman" w:cs="Times New Roman"/>
                <w:sz w:val="20"/>
                <w:szCs w:val="20"/>
              </w:rPr>
              <w:t>2</w:t>
            </w:r>
          </w:p>
        </w:tc>
        <w:tc>
          <w:tcPr>
            <w:tcW w:w="170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Pr>
                <w:rFonts w:eastAsia="Times New Roman" w:cs="Times New Roman"/>
                <w:sz w:val="20"/>
                <w:szCs w:val="20"/>
              </w:rPr>
              <w:t>C</w:t>
            </w:r>
          </w:p>
        </w:tc>
        <w:tc>
          <w:tcPr>
            <w:tcW w:w="1134"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6</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rPr>
                <w:rFonts w:eastAsia="Times New Roman" w:cs="Times New Roman"/>
                <w:sz w:val="20"/>
                <w:szCs w:val="20"/>
              </w:rPr>
            </w:pPr>
            <w:r w:rsidRPr="00842A09">
              <w:rPr>
                <w:rFonts w:eastAsia="Times New Roman" w:cs="Times New Roman"/>
                <w:sz w:val="20"/>
                <w:szCs w:val="20"/>
              </w:rPr>
              <w:t>PADM2C0 Intro. to Public Sector Financial Management</w:t>
            </w:r>
          </w:p>
        </w:tc>
        <w:tc>
          <w:tcPr>
            <w:tcW w:w="85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Pr>
                <w:rFonts w:eastAsia="Times New Roman" w:cs="Times New Roman"/>
                <w:sz w:val="20"/>
                <w:szCs w:val="20"/>
              </w:rPr>
              <w:t>2</w:t>
            </w:r>
          </w:p>
        </w:tc>
        <w:tc>
          <w:tcPr>
            <w:tcW w:w="170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Pr>
                <w:rFonts w:eastAsia="Times New Roman" w:cs="Times New Roman"/>
                <w:sz w:val="20"/>
                <w:szCs w:val="20"/>
              </w:rPr>
              <w:t>C</w:t>
            </w:r>
          </w:p>
        </w:tc>
        <w:tc>
          <w:tcPr>
            <w:tcW w:w="1134"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6</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rPr>
                <w:rFonts w:eastAsia="Times New Roman" w:cs="Times New Roman"/>
                <w:sz w:val="20"/>
                <w:szCs w:val="20"/>
              </w:rPr>
            </w:pPr>
            <w:r w:rsidRPr="00842A09">
              <w:rPr>
                <w:rFonts w:eastAsia="Times New Roman" w:cs="Times New Roman"/>
                <w:sz w:val="20"/>
                <w:szCs w:val="20"/>
              </w:rPr>
              <w:t>PADM2EO Introduction to Public Policy Management</w:t>
            </w:r>
          </w:p>
        </w:tc>
        <w:tc>
          <w:tcPr>
            <w:tcW w:w="85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Pr>
                <w:rFonts w:eastAsia="Times New Roman" w:cs="Times New Roman"/>
                <w:sz w:val="20"/>
                <w:szCs w:val="20"/>
              </w:rPr>
              <w:t>2</w:t>
            </w:r>
          </w:p>
        </w:tc>
        <w:tc>
          <w:tcPr>
            <w:tcW w:w="170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Pr>
                <w:rFonts w:eastAsia="Times New Roman" w:cs="Times New Roman"/>
                <w:sz w:val="20"/>
                <w:szCs w:val="20"/>
              </w:rPr>
              <w:t>C</w:t>
            </w:r>
          </w:p>
        </w:tc>
        <w:tc>
          <w:tcPr>
            <w:tcW w:w="1134"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6</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rPr>
                <w:rFonts w:eastAsia="Times New Roman" w:cs="Times New Roman"/>
                <w:sz w:val="20"/>
                <w:szCs w:val="20"/>
              </w:rPr>
            </w:pPr>
            <w:r w:rsidRPr="00842A09">
              <w:rPr>
                <w:rFonts w:eastAsia="Times New Roman" w:cs="Times New Roman"/>
                <w:sz w:val="20"/>
                <w:szCs w:val="20"/>
              </w:rPr>
              <w:t>ECON201 Intermediate Macro. &amp; Applications</w:t>
            </w:r>
          </w:p>
        </w:tc>
        <w:tc>
          <w:tcPr>
            <w:tcW w:w="85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Pr>
                <w:rFonts w:eastAsia="Times New Roman" w:cs="Times New Roman"/>
                <w:sz w:val="20"/>
                <w:szCs w:val="20"/>
              </w:rPr>
              <w:t>2</w:t>
            </w:r>
          </w:p>
        </w:tc>
        <w:tc>
          <w:tcPr>
            <w:tcW w:w="170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6</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rPr>
                <w:rFonts w:eastAsia="Times New Roman" w:cs="Times New Roman"/>
                <w:sz w:val="20"/>
                <w:szCs w:val="20"/>
              </w:rPr>
            </w:pPr>
            <w:r w:rsidRPr="00842A09">
              <w:rPr>
                <w:rFonts w:eastAsia="Times New Roman" w:cs="Times New Roman"/>
                <w:sz w:val="20"/>
                <w:szCs w:val="20"/>
              </w:rPr>
              <w:t>ECON202 Intermediate Micro &amp; Applications</w:t>
            </w:r>
          </w:p>
        </w:tc>
        <w:tc>
          <w:tcPr>
            <w:tcW w:w="85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Pr>
                <w:rFonts w:eastAsia="Times New Roman" w:cs="Times New Roman"/>
                <w:sz w:val="20"/>
                <w:szCs w:val="20"/>
              </w:rPr>
              <w:t>2</w:t>
            </w:r>
          </w:p>
        </w:tc>
        <w:tc>
          <w:tcPr>
            <w:tcW w:w="170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6</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rPr>
                <w:rFonts w:eastAsia="Times New Roman" w:cs="Times New Roman"/>
                <w:sz w:val="20"/>
                <w:szCs w:val="20"/>
              </w:rPr>
            </w:pPr>
            <w:r w:rsidRPr="00842A09">
              <w:rPr>
                <w:rFonts w:eastAsia="Times New Roman" w:cs="Times New Roman"/>
                <w:sz w:val="20"/>
                <w:szCs w:val="20"/>
              </w:rPr>
              <w:lastRenderedPageBreak/>
              <w:t>ENTR2EN Introduction to Entrepreneurship</w:t>
            </w:r>
          </w:p>
        </w:tc>
        <w:tc>
          <w:tcPr>
            <w:tcW w:w="85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Pr>
                <w:rFonts w:eastAsia="Times New Roman" w:cs="Times New Roman"/>
                <w:sz w:val="20"/>
                <w:szCs w:val="20"/>
              </w:rPr>
              <w:t>2</w:t>
            </w:r>
          </w:p>
        </w:tc>
        <w:tc>
          <w:tcPr>
            <w:tcW w:w="170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6</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8</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rPr>
                <w:rFonts w:eastAsia="Times New Roman" w:cs="Times New Roman"/>
                <w:sz w:val="20"/>
                <w:szCs w:val="20"/>
              </w:rPr>
            </w:pPr>
            <w:r w:rsidRPr="00842A09">
              <w:rPr>
                <w:rFonts w:eastAsia="Times New Roman" w:cs="Times New Roman"/>
                <w:sz w:val="20"/>
                <w:szCs w:val="20"/>
              </w:rPr>
              <w:t>HRMG2AO Research Methodology: Statistical Methods and</w:t>
            </w:r>
            <w:r>
              <w:rPr>
                <w:rFonts w:eastAsia="Times New Roman" w:cs="Times New Roman"/>
                <w:sz w:val="20"/>
                <w:szCs w:val="20"/>
              </w:rPr>
              <w:t xml:space="preserve"> </w:t>
            </w:r>
            <w:r w:rsidRPr="00842A09">
              <w:rPr>
                <w:rFonts w:eastAsia="Times New Roman" w:cs="Times New Roman"/>
                <w:sz w:val="20"/>
                <w:szCs w:val="20"/>
              </w:rPr>
              <w:t>Analysis</w:t>
            </w:r>
          </w:p>
        </w:tc>
        <w:tc>
          <w:tcPr>
            <w:tcW w:w="85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Pr>
                <w:rFonts w:eastAsia="Times New Roman" w:cs="Times New Roman"/>
                <w:sz w:val="20"/>
                <w:szCs w:val="20"/>
              </w:rPr>
              <w:t>2</w:t>
            </w:r>
          </w:p>
        </w:tc>
        <w:tc>
          <w:tcPr>
            <w:tcW w:w="170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6</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rPr>
                <w:rFonts w:eastAsia="Times New Roman" w:cs="Times New Roman"/>
                <w:sz w:val="20"/>
                <w:szCs w:val="20"/>
              </w:rPr>
            </w:pPr>
            <w:r w:rsidRPr="002F5AC4">
              <w:rPr>
                <w:rFonts w:eastAsia="Times New Roman" w:cs="Times New Roman"/>
                <w:sz w:val="20"/>
                <w:szCs w:val="20"/>
              </w:rPr>
              <w:t>HRMG2D0 Intro to Human Resource Information Systems</w:t>
            </w:r>
          </w:p>
        </w:tc>
        <w:tc>
          <w:tcPr>
            <w:tcW w:w="85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2</w:t>
            </w:r>
          </w:p>
        </w:tc>
        <w:tc>
          <w:tcPr>
            <w:tcW w:w="170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Pr>
                <w:rFonts w:eastAsia="Times New Roman" w:cs="Times New Roman"/>
                <w:sz w:val="20"/>
                <w:szCs w:val="20"/>
              </w:rPr>
              <w:t>6</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rPr>
                <w:rFonts w:eastAsia="Times New Roman" w:cs="Times New Roman"/>
                <w:sz w:val="20"/>
                <w:szCs w:val="20"/>
              </w:rPr>
            </w:pPr>
            <w:r w:rsidRPr="002F5AC4">
              <w:rPr>
                <w:rFonts w:eastAsia="Times New Roman" w:cs="Times New Roman"/>
                <w:sz w:val="20"/>
                <w:szCs w:val="20"/>
              </w:rPr>
              <w:t>HRMG2E0 Managerial Ethics In The Workplace</w:t>
            </w:r>
          </w:p>
        </w:tc>
        <w:tc>
          <w:tcPr>
            <w:tcW w:w="85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2</w:t>
            </w:r>
          </w:p>
        </w:tc>
        <w:tc>
          <w:tcPr>
            <w:tcW w:w="170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Pr>
                <w:rFonts w:eastAsia="Times New Roman" w:cs="Times New Roman"/>
                <w:sz w:val="20"/>
                <w:szCs w:val="20"/>
              </w:rPr>
              <w:t>6</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rPr>
                <w:rFonts w:eastAsia="Times New Roman" w:cs="Times New Roman"/>
                <w:sz w:val="20"/>
                <w:szCs w:val="20"/>
              </w:rPr>
            </w:pPr>
            <w:r w:rsidRPr="00842A09">
              <w:rPr>
                <w:rFonts w:eastAsia="Times New Roman" w:cs="Times New Roman"/>
                <w:sz w:val="20"/>
                <w:szCs w:val="20"/>
              </w:rPr>
              <w:t>HRMG2HO Employee Wellness</w:t>
            </w:r>
          </w:p>
        </w:tc>
        <w:tc>
          <w:tcPr>
            <w:tcW w:w="85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Pr>
                <w:rFonts w:eastAsia="Times New Roman" w:cs="Times New Roman"/>
                <w:sz w:val="20"/>
                <w:szCs w:val="20"/>
              </w:rPr>
              <w:t>2</w:t>
            </w:r>
          </w:p>
        </w:tc>
        <w:tc>
          <w:tcPr>
            <w:tcW w:w="170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6</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rPr>
                <w:rFonts w:eastAsia="Times New Roman" w:cs="Times New Roman"/>
                <w:sz w:val="20"/>
                <w:szCs w:val="20"/>
              </w:rPr>
            </w:pPr>
            <w:r w:rsidRPr="00842A09">
              <w:rPr>
                <w:rFonts w:eastAsia="Times New Roman" w:cs="Times New Roman"/>
                <w:sz w:val="20"/>
                <w:szCs w:val="20"/>
              </w:rPr>
              <w:t>HRMG2HR Introduction to HR</w:t>
            </w:r>
          </w:p>
        </w:tc>
        <w:tc>
          <w:tcPr>
            <w:tcW w:w="85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Pr>
                <w:rFonts w:eastAsia="Times New Roman" w:cs="Times New Roman"/>
                <w:sz w:val="20"/>
                <w:szCs w:val="20"/>
              </w:rPr>
              <w:t>2</w:t>
            </w:r>
          </w:p>
        </w:tc>
        <w:tc>
          <w:tcPr>
            <w:tcW w:w="170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6</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8</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rPr>
                <w:rFonts w:eastAsia="Times New Roman" w:cs="Times New Roman"/>
                <w:sz w:val="20"/>
                <w:szCs w:val="20"/>
              </w:rPr>
            </w:pPr>
            <w:r w:rsidRPr="00842A09">
              <w:rPr>
                <w:rFonts w:eastAsia="Times New Roman" w:cs="Times New Roman"/>
                <w:sz w:val="20"/>
                <w:szCs w:val="20"/>
              </w:rPr>
              <w:t>HRMG2JO Managing Workforce Diversity</w:t>
            </w:r>
          </w:p>
        </w:tc>
        <w:tc>
          <w:tcPr>
            <w:tcW w:w="85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Pr>
                <w:rFonts w:eastAsia="Times New Roman" w:cs="Times New Roman"/>
                <w:sz w:val="20"/>
                <w:szCs w:val="20"/>
              </w:rPr>
              <w:t>2</w:t>
            </w:r>
          </w:p>
        </w:tc>
        <w:tc>
          <w:tcPr>
            <w:tcW w:w="170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6</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rPr>
                <w:rFonts w:eastAsia="Times New Roman" w:cs="Times New Roman"/>
                <w:sz w:val="20"/>
                <w:szCs w:val="20"/>
              </w:rPr>
            </w:pPr>
            <w:r w:rsidRPr="00842A09">
              <w:rPr>
                <w:rFonts w:eastAsia="Times New Roman" w:cs="Times New Roman"/>
                <w:sz w:val="20"/>
                <w:szCs w:val="20"/>
              </w:rPr>
              <w:t>HRMG2KO Career Management</w:t>
            </w:r>
          </w:p>
        </w:tc>
        <w:tc>
          <w:tcPr>
            <w:tcW w:w="85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Pr>
                <w:rFonts w:eastAsia="Times New Roman" w:cs="Times New Roman"/>
                <w:sz w:val="20"/>
                <w:szCs w:val="20"/>
              </w:rPr>
              <w:t>2</w:t>
            </w:r>
          </w:p>
        </w:tc>
        <w:tc>
          <w:tcPr>
            <w:tcW w:w="170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6</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rPr>
                <w:rFonts w:eastAsia="Times New Roman" w:cs="Times New Roman"/>
                <w:sz w:val="20"/>
                <w:szCs w:val="20"/>
              </w:rPr>
            </w:pPr>
            <w:r w:rsidRPr="00842A09">
              <w:rPr>
                <w:rFonts w:eastAsia="Times New Roman" w:cs="Times New Roman"/>
                <w:sz w:val="20"/>
                <w:szCs w:val="20"/>
              </w:rPr>
              <w:t>ISTN211 Systems Analysis and Design</w:t>
            </w:r>
          </w:p>
        </w:tc>
        <w:tc>
          <w:tcPr>
            <w:tcW w:w="85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Pr>
                <w:rFonts w:eastAsia="Times New Roman" w:cs="Times New Roman"/>
                <w:sz w:val="20"/>
                <w:szCs w:val="20"/>
              </w:rPr>
              <w:t>2</w:t>
            </w:r>
          </w:p>
        </w:tc>
        <w:tc>
          <w:tcPr>
            <w:tcW w:w="170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6</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rPr>
                <w:rFonts w:eastAsia="Times New Roman" w:cs="Times New Roman"/>
                <w:sz w:val="20"/>
                <w:szCs w:val="20"/>
              </w:rPr>
            </w:pPr>
            <w:r w:rsidRPr="00842A09">
              <w:rPr>
                <w:rFonts w:eastAsia="Times New Roman" w:cs="Times New Roman"/>
                <w:sz w:val="20"/>
                <w:szCs w:val="20"/>
              </w:rPr>
              <w:t>ISTN212 Databases and Programming</w:t>
            </w:r>
          </w:p>
        </w:tc>
        <w:tc>
          <w:tcPr>
            <w:tcW w:w="85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Pr>
                <w:rFonts w:eastAsia="Times New Roman" w:cs="Times New Roman"/>
                <w:sz w:val="20"/>
                <w:szCs w:val="20"/>
              </w:rPr>
              <w:t>2</w:t>
            </w:r>
          </w:p>
        </w:tc>
        <w:tc>
          <w:tcPr>
            <w:tcW w:w="170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6</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rPr>
                <w:rFonts w:eastAsia="Times New Roman" w:cs="Times New Roman"/>
                <w:sz w:val="20"/>
                <w:szCs w:val="20"/>
              </w:rPr>
            </w:pPr>
            <w:r w:rsidRPr="00842A09">
              <w:rPr>
                <w:rFonts w:eastAsia="Times New Roman" w:cs="Times New Roman"/>
                <w:sz w:val="20"/>
                <w:szCs w:val="20"/>
              </w:rPr>
              <w:t>MARK2MK Introduction to Marketing</w:t>
            </w:r>
          </w:p>
        </w:tc>
        <w:tc>
          <w:tcPr>
            <w:tcW w:w="85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Pr>
                <w:rFonts w:eastAsia="Times New Roman" w:cs="Times New Roman"/>
                <w:sz w:val="20"/>
                <w:szCs w:val="20"/>
              </w:rPr>
              <w:t>2</w:t>
            </w:r>
          </w:p>
        </w:tc>
        <w:tc>
          <w:tcPr>
            <w:tcW w:w="170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6</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8</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rPr>
                <w:rFonts w:eastAsia="Times New Roman" w:cs="Times New Roman"/>
                <w:sz w:val="20"/>
                <w:szCs w:val="20"/>
              </w:rPr>
            </w:pPr>
            <w:r w:rsidRPr="00842A09">
              <w:rPr>
                <w:rFonts w:eastAsia="Times New Roman" w:cs="Times New Roman"/>
                <w:sz w:val="20"/>
                <w:szCs w:val="20"/>
              </w:rPr>
              <w:t>SCMA2OP Introduction to Operations Management</w:t>
            </w:r>
          </w:p>
        </w:tc>
        <w:tc>
          <w:tcPr>
            <w:tcW w:w="85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Pr>
                <w:rFonts w:eastAsia="Times New Roman" w:cs="Times New Roman"/>
                <w:sz w:val="20"/>
                <w:szCs w:val="20"/>
              </w:rPr>
              <w:t>2</w:t>
            </w:r>
          </w:p>
        </w:tc>
        <w:tc>
          <w:tcPr>
            <w:tcW w:w="170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6</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8</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rPr>
                <w:rFonts w:eastAsia="Times New Roman" w:cs="Times New Roman"/>
                <w:sz w:val="20"/>
                <w:szCs w:val="20"/>
              </w:rPr>
            </w:pPr>
            <w:r w:rsidRPr="00842A09">
              <w:rPr>
                <w:rFonts w:eastAsia="Times New Roman" w:cs="Times New Roman"/>
                <w:sz w:val="20"/>
                <w:szCs w:val="20"/>
              </w:rPr>
              <w:t>PADM3A0 Development Policy and Project Management</w:t>
            </w:r>
          </w:p>
        </w:tc>
        <w:tc>
          <w:tcPr>
            <w:tcW w:w="85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Pr>
                <w:rFonts w:eastAsia="Times New Roman" w:cs="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C</w:t>
            </w:r>
          </w:p>
        </w:tc>
        <w:tc>
          <w:tcPr>
            <w:tcW w:w="1134"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7</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rPr>
                <w:rFonts w:eastAsia="Times New Roman" w:cs="Times New Roman"/>
                <w:sz w:val="20"/>
                <w:szCs w:val="20"/>
              </w:rPr>
            </w:pPr>
            <w:r w:rsidRPr="00842A09">
              <w:rPr>
                <w:rFonts w:eastAsia="Times New Roman" w:cs="Times New Roman"/>
                <w:sz w:val="20"/>
                <w:szCs w:val="20"/>
              </w:rPr>
              <w:t>PADM3B0 Public Service Delivery: Principles &amp; Process</w:t>
            </w:r>
          </w:p>
        </w:tc>
        <w:tc>
          <w:tcPr>
            <w:tcW w:w="85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Pr>
                <w:rFonts w:eastAsia="Times New Roman" w:cs="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C</w:t>
            </w:r>
          </w:p>
        </w:tc>
        <w:tc>
          <w:tcPr>
            <w:tcW w:w="1134"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7</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rPr>
                <w:rFonts w:eastAsia="Times New Roman" w:cs="Times New Roman"/>
                <w:sz w:val="20"/>
                <w:szCs w:val="20"/>
              </w:rPr>
            </w:pPr>
            <w:r w:rsidRPr="00842A09">
              <w:rPr>
                <w:rFonts w:eastAsia="Times New Roman" w:cs="Times New Roman"/>
                <w:sz w:val="20"/>
                <w:szCs w:val="20"/>
              </w:rPr>
              <w:t>PADM3DO Global &amp; Regional Trends in Public Admin</w:t>
            </w:r>
          </w:p>
        </w:tc>
        <w:tc>
          <w:tcPr>
            <w:tcW w:w="85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Pr>
                <w:rFonts w:eastAsia="Times New Roman" w:cs="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C</w:t>
            </w:r>
          </w:p>
        </w:tc>
        <w:tc>
          <w:tcPr>
            <w:tcW w:w="1134"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7</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rPr>
                <w:rFonts w:eastAsia="Times New Roman" w:cs="Times New Roman"/>
                <w:sz w:val="20"/>
                <w:szCs w:val="20"/>
              </w:rPr>
            </w:pPr>
            <w:r w:rsidRPr="00842A09">
              <w:rPr>
                <w:rFonts w:eastAsia="Times New Roman" w:cs="Times New Roman"/>
                <w:sz w:val="20"/>
                <w:szCs w:val="20"/>
              </w:rPr>
              <w:t>PADM3EO Organisational Change and Leadership</w:t>
            </w:r>
          </w:p>
        </w:tc>
        <w:tc>
          <w:tcPr>
            <w:tcW w:w="85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Pr>
                <w:rFonts w:eastAsia="Times New Roman" w:cs="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C</w:t>
            </w:r>
          </w:p>
        </w:tc>
        <w:tc>
          <w:tcPr>
            <w:tcW w:w="1134"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7</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rPr>
                <w:rFonts w:eastAsia="Times New Roman" w:cs="Times New Roman"/>
                <w:sz w:val="20"/>
                <w:szCs w:val="20"/>
              </w:rPr>
            </w:pPr>
            <w:r w:rsidRPr="002F5AC4">
              <w:rPr>
                <w:rFonts w:eastAsia="Times New Roman" w:cs="Times New Roman"/>
                <w:sz w:val="20"/>
                <w:szCs w:val="20"/>
              </w:rPr>
              <w:t>ECON302 Environmental Economics</w:t>
            </w:r>
          </w:p>
        </w:tc>
        <w:tc>
          <w:tcPr>
            <w:tcW w:w="85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Pr>
                <w:rFonts w:eastAsia="Times New Roman" w:cs="Times New Roman"/>
                <w:sz w:val="20"/>
                <w:szCs w:val="20"/>
              </w:rPr>
              <w:t>7</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rPr>
                <w:rFonts w:eastAsia="Times New Roman" w:cs="Times New Roman"/>
                <w:sz w:val="20"/>
                <w:szCs w:val="20"/>
              </w:rPr>
            </w:pPr>
            <w:r w:rsidRPr="002F5AC4">
              <w:rPr>
                <w:rFonts w:eastAsia="Times New Roman" w:cs="Times New Roman"/>
                <w:sz w:val="20"/>
                <w:szCs w:val="20"/>
              </w:rPr>
              <w:t>ECON305 Industrial Organisation</w:t>
            </w:r>
          </w:p>
        </w:tc>
        <w:tc>
          <w:tcPr>
            <w:tcW w:w="85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Pr>
                <w:rFonts w:eastAsia="Times New Roman" w:cs="Times New Roman"/>
                <w:sz w:val="20"/>
                <w:szCs w:val="20"/>
              </w:rPr>
              <w:t>7</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rPr>
                <w:rFonts w:eastAsia="Times New Roman" w:cs="Times New Roman"/>
                <w:sz w:val="20"/>
                <w:szCs w:val="20"/>
              </w:rPr>
            </w:pPr>
            <w:r w:rsidRPr="002F5AC4">
              <w:rPr>
                <w:rFonts w:eastAsia="Times New Roman" w:cs="Times New Roman"/>
                <w:sz w:val="20"/>
                <w:szCs w:val="20"/>
              </w:rPr>
              <w:t>ECON306 International Economics</w:t>
            </w:r>
          </w:p>
        </w:tc>
        <w:tc>
          <w:tcPr>
            <w:tcW w:w="85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Pr>
                <w:rFonts w:eastAsia="Times New Roman" w:cs="Times New Roman"/>
                <w:sz w:val="20"/>
                <w:szCs w:val="20"/>
              </w:rPr>
              <w:t>7</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rPr>
                <w:rFonts w:eastAsia="Times New Roman" w:cs="Times New Roman"/>
                <w:sz w:val="20"/>
                <w:szCs w:val="20"/>
              </w:rPr>
            </w:pPr>
            <w:r w:rsidRPr="002F5AC4">
              <w:rPr>
                <w:rFonts w:eastAsia="Times New Roman" w:cs="Times New Roman"/>
                <w:sz w:val="20"/>
                <w:szCs w:val="20"/>
              </w:rPr>
              <w:t>ECON308 Public Economics</w:t>
            </w:r>
          </w:p>
        </w:tc>
        <w:tc>
          <w:tcPr>
            <w:tcW w:w="85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Pr>
                <w:rFonts w:eastAsia="Times New Roman" w:cs="Times New Roman"/>
                <w:sz w:val="20"/>
                <w:szCs w:val="20"/>
              </w:rPr>
              <w:t>7</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rPr>
                <w:rFonts w:eastAsia="Times New Roman" w:cs="Times New Roman"/>
                <w:sz w:val="20"/>
                <w:szCs w:val="20"/>
              </w:rPr>
            </w:pPr>
            <w:r w:rsidRPr="002F5AC4">
              <w:rPr>
                <w:rFonts w:eastAsia="Times New Roman" w:cs="Times New Roman"/>
                <w:sz w:val="20"/>
                <w:szCs w:val="20"/>
              </w:rPr>
              <w:t>ECON309 Macroeconomic Policy in SA</w:t>
            </w:r>
          </w:p>
        </w:tc>
        <w:tc>
          <w:tcPr>
            <w:tcW w:w="85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Pr>
                <w:rFonts w:eastAsia="Times New Roman" w:cs="Times New Roman"/>
                <w:sz w:val="20"/>
                <w:szCs w:val="20"/>
              </w:rPr>
              <w:t>7</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rPr>
                <w:rFonts w:eastAsia="Times New Roman" w:cs="Times New Roman"/>
                <w:sz w:val="20"/>
                <w:szCs w:val="20"/>
              </w:rPr>
            </w:pPr>
            <w:r w:rsidRPr="002F5AC4">
              <w:rPr>
                <w:rFonts w:eastAsia="Times New Roman" w:cs="Times New Roman"/>
                <w:sz w:val="20"/>
                <w:szCs w:val="20"/>
              </w:rPr>
              <w:t>ECON311 Labour Economics</w:t>
            </w:r>
          </w:p>
        </w:tc>
        <w:tc>
          <w:tcPr>
            <w:tcW w:w="85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Pr>
                <w:rFonts w:eastAsia="Times New Roman" w:cs="Times New Roman"/>
                <w:sz w:val="20"/>
                <w:szCs w:val="20"/>
              </w:rPr>
              <w:t>7</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rPr>
                <w:rFonts w:eastAsia="Times New Roman" w:cs="Times New Roman"/>
                <w:sz w:val="20"/>
                <w:szCs w:val="20"/>
              </w:rPr>
            </w:pPr>
            <w:r w:rsidRPr="002F5AC4">
              <w:rPr>
                <w:rFonts w:eastAsia="Times New Roman" w:cs="Times New Roman"/>
                <w:sz w:val="20"/>
                <w:szCs w:val="20"/>
              </w:rPr>
              <w:t>ECON314 Quantitative Economics</w:t>
            </w:r>
          </w:p>
        </w:tc>
        <w:tc>
          <w:tcPr>
            <w:tcW w:w="85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Pr>
                <w:rFonts w:eastAsia="Times New Roman" w:cs="Times New Roman"/>
                <w:sz w:val="20"/>
                <w:szCs w:val="20"/>
              </w:rPr>
              <w:t>7</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rPr>
                <w:rFonts w:eastAsia="Times New Roman" w:cs="Times New Roman"/>
                <w:sz w:val="20"/>
                <w:szCs w:val="20"/>
              </w:rPr>
            </w:pPr>
            <w:r w:rsidRPr="002F5AC4">
              <w:rPr>
                <w:rFonts w:eastAsia="Times New Roman" w:cs="Times New Roman"/>
                <w:sz w:val="20"/>
                <w:szCs w:val="20"/>
              </w:rPr>
              <w:t>ECON340 Monetary Economics</w:t>
            </w:r>
          </w:p>
        </w:tc>
        <w:tc>
          <w:tcPr>
            <w:tcW w:w="85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Pr>
                <w:rFonts w:eastAsia="Times New Roman" w:cs="Times New Roman"/>
                <w:sz w:val="20"/>
                <w:szCs w:val="20"/>
              </w:rPr>
              <w:t>7</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rPr>
                <w:rFonts w:eastAsia="Times New Roman" w:cs="Times New Roman"/>
                <w:sz w:val="20"/>
                <w:szCs w:val="20"/>
              </w:rPr>
            </w:pPr>
            <w:r w:rsidRPr="002F5AC4">
              <w:rPr>
                <w:rFonts w:eastAsia="Times New Roman" w:cs="Times New Roman"/>
                <w:sz w:val="20"/>
                <w:szCs w:val="20"/>
              </w:rPr>
              <w:t>ECON360 International Trade</w:t>
            </w:r>
          </w:p>
        </w:tc>
        <w:tc>
          <w:tcPr>
            <w:tcW w:w="85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Pr>
                <w:rFonts w:eastAsia="Times New Roman" w:cs="Times New Roman"/>
                <w:sz w:val="20"/>
                <w:szCs w:val="20"/>
              </w:rPr>
              <w:t>7</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rPr>
                <w:rFonts w:eastAsia="Times New Roman" w:cs="Times New Roman"/>
                <w:sz w:val="20"/>
                <w:szCs w:val="20"/>
              </w:rPr>
            </w:pPr>
            <w:r w:rsidRPr="002F5AC4">
              <w:rPr>
                <w:rFonts w:eastAsia="Times New Roman" w:cs="Times New Roman"/>
                <w:sz w:val="20"/>
                <w:szCs w:val="20"/>
              </w:rPr>
              <w:t>ECON370 Development Economics</w:t>
            </w:r>
          </w:p>
        </w:tc>
        <w:tc>
          <w:tcPr>
            <w:tcW w:w="85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Pr>
                <w:rFonts w:eastAsia="Times New Roman" w:cs="Times New Roman"/>
                <w:sz w:val="20"/>
                <w:szCs w:val="20"/>
              </w:rPr>
              <w:t>7</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rPr>
                <w:rFonts w:eastAsia="Times New Roman" w:cs="Times New Roman"/>
                <w:sz w:val="20"/>
                <w:szCs w:val="20"/>
              </w:rPr>
            </w:pPr>
            <w:r w:rsidRPr="002F5AC4">
              <w:rPr>
                <w:rFonts w:eastAsia="Times New Roman" w:cs="Times New Roman"/>
                <w:sz w:val="20"/>
                <w:szCs w:val="20"/>
              </w:rPr>
              <w:t>FINA312 Financial Risk Management</w:t>
            </w:r>
          </w:p>
        </w:tc>
        <w:tc>
          <w:tcPr>
            <w:tcW w:w="85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Pr>
                <w:rFonts w:eastAsia="Times New Roman" w:cs="Times New Roman"/>
                <w:sz w:val="20"/>
                <w:szCs w:val="20"/>
              </w:rPr>
              <w:t>7</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rPr>
                <w:rFonts w:eastAsia="Times New Roman" w:cs="Times New Roman"/>
                <w:sz w:val="20"/>
                <w:szCs w:val="20"/>
              </w:rPr>
            </w:pPr>
            <w:r w:rsidRPr="002F5AC4">
              <w:rPr>
                <w:rFonts w:eastAsia="Times New Roman" w:cs="Times New Roman"/>
                <w:sz w:val="20"/>
                <w:szCs w:val="20"/>
              </w:rPr>
              <w:t>FINA321 Corporate Financial Management</w:t>
            </w:r>
          </w:p>
        </w:tc>
        <w:tc>
          <w:tcPr>
            <w:tcW w:w="85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Pr>
                <w:rFonts w:eastAsia="Times New Roman" w:cs="Times New Roman"/>
                <w:sz w:val="20"/>
                <w:szCs w:val="20"/>
              </w:rPr>
              <w:t>7</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rPr>
                <w:rFonts w:eastAsia="Times New Roman" w:cs="Times New Roman"/>
                <w:sz w:val="20"/>
                <w:szCs w:val="20"/>
              </w:rPr>
            </w:pPr>
            <w:r w:rsidRPr="002F5AC4">
              <w:rPr>
                <w:rFonts w:eastAsia="Times New Roman" w:cs="Times New Roman"/>
                <w:sz w:val="20"/>
                <w:szCs w:val="20"/>
              </w:rPr>
              <w:t>HRMG3CE Collective Employment Relations &amp; Law</w:t>
            </w:r>
          </w:p>
        </w:tc>
        <w:tc>
          <w:tcPr>
            <w:tcW w:w="85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Pr>
                <w:rFonts w:eastAsia="Times New Roman" w:cs="Times New Roman"/>
                <w:sz w:val="20"/>
                <w:szCs w:val="20"/>
              </w:rPr>
              <w:t>7</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rPr>
                <w:rFonts w:eastAsia="Times New Roman" w:cs="Times New Roman"/>
                <w:sz w:val="20"/>
                <w:szCs w:val="20"/>
              </w:rPr>
            </w:pPr>
            <w:r w:rsidRPr="002F5AC4">
              <w:rPr>
                <w:rFonts w:eastAsia="Times New Roman" w:cs="Times New Roman"/>
                <w:sz w:val="20"/>
                <w:szCs w:val="20"/>
              </w:rPr>
              <w:t>HRMG3CI Employment Relations &amp; Contemporary Issues</w:t>
            </w:r>
          </w:p>
        </w:tc>
        <w:tc>
          <w:tcPr>
            <w:tcW w:w="85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Pr>
                <w:rFonts w:eastAsia="Times New Roman" w:cs="Times New Roman"/>
                <w:sz w:val="20"/>
                <w:szCs w:val="20"/>
              </w:rPr>
              <w:t>7</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rPr>
                <w:rFonts w:eastAsia="Times New Roman" w:cs="Times New Roman"/>
                <w:sz w:val="20"/>
                <w:szCs w:val="20"/>
              </w:rPr>
            </w:pPr>
            <w:r w:rsidRPr="002F5AC4">
              <w:rPr>
                <w:rFonts w:eastAsia="Times New Roman" w:cs="Times New Roman"/>
                <w:sz w:val="20"/>
                <w:szCs w:val="20"/>
              </w:rPr>
              <w:t>HRMG3ER Employment Resourcing</w:t>
            </w:r>
          </w:p>
        </w:tc>
        <w:tc>
          <w:tcPr>
            <w:tcW w:w="85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Pr>
                <w:rFonts w:eastAsia="Times New Roman" w:cs="Times New Roman"/>
                <w:sz w:val="20"/>
                <w:szCs w:val="20"/>
              </w:rPr>
              <w:t>7</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rPr>
                <w:rFonts w:eastAsia="Times New Roman" w:cs="Times New Roman"/>
                <w:sz w:val="20"/>
                <w:szCs w:val="20"/>
              </w:rPr>
            </w:pPr>
            <w:r w:rsidRPr="002F5AC4">
              <w:rPr>
                <w:rFonts w:eastAsia="Times New Roman" w:cs="Times New Roman"/>
                <w:sz w:val="20"/>
                <w:szCs w:val="20"/>
              </w:rPr>
              <w:t>HRMG3IE Individual Employment Relations &amp; Law</w:t>
            </w:r>
          </w:p>
        </w:tc>
        <w:tc>
          <w:tcPr>
            <w:tcW w:w="85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Pr>
                <w:rFonts w:eastAsia="Times New Roman" w:cs="Times New Roman"/>
                <w:sz w:val="20"/>
                <w:szCs w:val="20"/>
              </w:rPr>
              <w:t>7</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vAlign w:val="center"/>
          </w:tcPr>
          <w:p w:rsidR="0084174D" w:rsidRPr="002F5AC4" w:rsidRDefault="0084174D" w:rsidP="007D7D34">
            <w:pPr>
              <w:spacing w:after="0"/>
              <w:rPr>
                <w:rFonts w:eastAsia="Times New Roman" w:cs="Times New Roman"/>
                <w:sz w:val="20"/>
                <w:szCs w:val="20"/>
              </w:rPr>
            </w:pPr>
            <w:r w:rsidRPr="002F5AC4">
              <w:rPr>
                <w:rFonts w:eastAsia="Times New Roman" w:cs="Times New Roman"/>
                <w:sz w:val="20"/>
                <w:szCs w:val="20"/>
              </w:rPr>
              <w:t>HRMG3LL Labour Legislation</w:t>
            </w:r>
          </w:p>
        </w:tc>
        <w:tc>
          <w:tcPr>
            <w:tcW w:w="85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Pr>
                <w:rFonts w:eastAsia="Times New Roman" w:cs="Times New Roman"/>
                <w:sz w:val="20"/>
                <w:szCs w:val="20"/>
              </w:rPr>
              <w:t>7</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rPr>
                <w:rFonts w:eastAsia="Times New Roman" w:cs="Times New Roman"/>
                <w:sz w:val="20"/>
                <w:szCs w:val="20"/>
              </w:rPr>
            </w:pPr>
            <w:r w:rsidRPr="002F5AC4">
              <w:rPr>
                <w:rFonts w:eastAsia="Times New Roman" w:cs="Times New Roman"/>
                <w:sz w:val="20"/>
                <w:szCs w:val="20"/>
              </w:rPr>
              <w:t>HRMG3OD Individual &amp; Organisational Development</w:t>
            </w:r>
          </w:p>
        </w:tc>
        <w:tc>
          <w:tcPr>
            <w:tcW w:w="85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Pr>
                <w:rFonts w:eastAsia="Times New Roman" w:cs="Times New Roman"/>
                <w:sz w:val="20"/>
                <w:szCs w:val="20"/>
              </w:rPr>
              <w:t>7</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rPr>
                <w:rFonts w:eastAsia="Times New Roman" w:cs="Times New Roman"/>
                <w:sz w:val="20"/>
                <w:szCs w:val="20"/>
              </w:rPr>
            </w:pPr>
            <w:r w:rsidRPr="002F5AC4">
              <w:rPr>
                <w:rFonts w:eastAsia="Times New Roman" w:cs="Times New Roman"/>
                <w:sz w:val="20"/>
                <w:szCs w:val="20"/>
              </w:rPr>
              <w:t>ISTN31A Advanced Systems Analysis</w:t>
            </w:r>
          </w:p>
        </w:tc>
        <w:tc>
          <w:tcPr>
            <w:tcW w:w="85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Pr>
                <w:rFonts w:eastAsia="Times New Roman" w:cs="Times New Roman"/>
                <w:sz w:val="20"/>
                <w:szCs w:val="20"/>
              </w:rPr>
              <w:t>7</w:t>
            </w:r>
          </w:p>
        </w:tc>
        <w:tc>
          <w:tcPr>
            <w:tcW w:w="962" w:type="dxa"/>
            <w:tcBorders>
              <w:top w:val="single" w:sz="4" w:space="0" w:color="auto"/>
              <w:left w:val="single" w:sz="4" w:space="0" w:color="auto"/>
              <w:bottom w:val="single" w:sz="4" w:space="0" w:color="auto"/>
              <w:right w:val="single" w:sz="4" w:space="0" w:color="auto"/>
            </w:tcBorders>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8</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rPr>
                <w:rFonts w:eastAsia="Times New Roman" w:cs="Times New Roman"/>
                <w:sz w:val="20"/>
                <w:szCs w:val="20"/>
              </w:rPr>
            </w:pPr>
            <w:r w:rsidRPr="002F5AC4">
              <w:rPr>
                <w:rFonts w:eastAsia="Times New Roman" w:cs="Times New Roman"/>
                <w:sz w:val="20"/>
                <w:szCs w:val="20"/>
              </w:rPr>
              <w:t>ISTN31B Applied Systems Analysis</w:t>
            </w:r>
          </w:p>
        </w:tc>
        <w:tc>
          <w:tcPr>
            <w:tcW w:w="85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Pr>
                <w:rFonts w:eastAsia="Times New Roman" w:cs="Times New Roman"/>
                <w:sz w:val="20"/>
                <w:szCs w:val="20"/>
              </w:rPr>
              <w:t>7</w:t>
            </w:r>
          </w:p>
        </w:tc>
        <w:tc>
          <w:tcPr>
            <w:tcW w:w="962" w:type="dxa"/>
            <w:tcBorders>
              <w:top w:val="single" w:sz="4" w:space="0" w:color="auto"/>
              <w:left w:val="single" w:sz="4" w:space="0" w:color="auto"/>
              <w:bottom w:val="single" w:sz="4" w:space="0" w:color="auto"/>
              <w:right w:val="single" w:sz="4" w:space="0" w:color="auto"/>
            </w:tcBorders>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8</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rPr>
                <w:rFonts w:eastAsia="Times New Roman" w:cs="Times New Roman"/>
                <w:sz w:val="20"/>
                <w:szCs w:val="20"/>
              </w:rPr>
            </w:pPr>
            <w:r w:rsidRPr="002F5AC4">
              <w:rPr>
                <w:rFonts w:eastAsia="Times New Roman" w:cs="Times New Roman"/>
                <w:sz w:val="20"/>
                <w:szCs w:val="20"/>
              </w:rPr>
              <w:t>ISTN31D Advanced Systems Design</w:t>
            </w:r>
          </w:p>
        </w:tc>
        <w:tc>
          <w:tcPr>
            <w:tcW w:w="85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Pr>
                <w:rFonts w:eastAsia="Times New Roman" w:cs="Times New Roman"/>
                <w:sz w:val="20"/>
                <w:szCs w:val="20"/>
              </w:rPr>
              <w:t>7</w:t>
            </w:r>
          </w:p>
        </w:tc>
        <w:tc>
          <w:tcPr>
            <w:tcW w:w="962" w:type="dxa"/>
            <w:tcBorders>
              <w:top w:val="single" w:sz="4" w:space="0" w:color="auto"/>
              <w:left w:val="single" w:sz="4" w:space="0" w:color="auto"/>
              <w:bottom w:val="single" w:sz="4" w:space="0" w:color="auto"/>
              <w:right w:val="single" w:sz="4" w:space="0" w:color="auto"/>
            </w:tcBorders>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8</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rPr>
                <w:rFonts w:eastAsia="Times New Roman" w:cs="Times New Roman"/>
                <w:sz w:val="20"/>
                <w:szCs w:val="20"/>
              </w:rPr>
            </w:pPr>
            <w:r w:rsidRPr="002F5AC4">
              <w:rPr>
                <w:rFonts w:eastAsia="Times New Roman" w:cs="Times New Roman"/>
                <w:sz w:val="20"/>
                <w:szCs w:val="20"/>
              </w:rPr>
              <w:t>ISTN31E Project Management</w:t>
            </w:r>
          </w:p>
        </w:tc>
        <w:tc>
          <w:tcPr>
            <w:tcW w:w="85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Pr>
                <w:rFonts w:eastAsia="Times New Roman" w:cs="Times New Roman"/>
                <w:sz w:val="20"/>
                <w:szCs w:val="20"/>
              </w:rPr>
              <w:t>7</w:t>
            </w:r>
          </w:p>
        </w:tc>
        <w:tc>
          <w:tcPr>
            <w:tcW w:w="962" w:type="dxa"/>
            <w:tcBorders>
              <w:top w:val="single" w:sz="4" w:space="0" w:color="auto"/>
              <w:left w:val="single" w:sz="4" w:space="0" w:color="auto"/>
              <w:bottom w:val="single" w:sz="4" w:space="0" w:color="auto"/>
              <w:right w:val="single" w:sz="4" w:space="0" w:color="auto"/>
            </w:tcBorders>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8</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rPr>
                <w:rFonts w:eastAsia="Times New Roman" w:cs="Times New Roman"/>
                <w:sz w:val="20"/>
                <w:szCs w:val="20"/>
              </w:rPr>
            </w:pPr>
            <w:r w:rsidRPr="002F5AC4">
              <w:rPr>
                <w:rFonts w:eastAsia="Times New Roman" w:cs="Times New Roman"/>
                <w:sz w:val="20"/>
                <w:szCs w:val="20"/>
              </w:rPr>
              <w:t>ISTN31F Information Systems &amp; Technology Strategy</w:t>
            </w:r>
          </w:p>
        </w:tc>
        <w:tc>
          <w:tcPr>
            <w:tcW w:w="85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Pr>
                <w:rFonts w:eastAsia="Times New Roman" w:cs="Times New Roman"/>
                <w:sz w:val="20"/>
                <w:szCs w:val="20"/>
              </w:rPr>
              <w:t>7</w:t>
            </w:r>
          </w:p>
        </w:tc>
        <w:tc>
          <w:tcPr>
            <w:tcW w:w="962" w:type="dxa"/>
            <w:tcBorders>
              <w:top w:val="single" w:sz="4" w:space="0" w:color="auto"/>
              <w:left w:val="single" w:sz="4" w:space="0" w:color="auto"/>
              <w:bottom w:val="single" w:sz="4" w:space="0" w:color="auto"/>
              <w:right w:val="single" w:sz="4" w:space="0" w:color="auto"/>
            </w:tcBorders>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8</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rPr>
                <w:rFonts w:eastAsia="Times New Roman" w:cs="Times New Roman"/>
                <w:sz w:val="20"/>
                <w:szCs w:val="20"/>
              </w:rPr>
            </w:pPr>
            <w:r w:rsidRPr="002F5AC4">
              <w:rPr>
                <w:rFonts w:eastAsia="Times New Roman" w:cs="Times New Roman"/>
                <w:sz w:val="20"/>
                <w:szCs w:val="20"/>
              </w:rPr>
              <w:t>ISTN31G IS&amp;T Communication Skills</w:t>
            </w:r>
          </w:p>
        </w:tc>
        <w:tc>
          <w:tcPr>
            <w:tcW w:w="85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Pr>
                <w:rFonts w:eastAsia="Times New Roman" w:cs="Times New Roman"/>
                <w:sz w:val="20"/>
                <w:szCs w:val="20"/>
              </w:rPr>
              <w:t>7</w:t>
            </w:r>
          </w:p>
        </w:tc>
        <w:tc>
          <w:tcPr>
            <w:tcW w:w="962" w:type="dxa"/>
            <w:tcBorders>
              <w:top w:val="single" w:sz="4" w:space="0" w:color="auto"/>
              <w:left w:val="single" w:sz="4" w:space="0" w:color="auto"/>
              <w:bottom w:val="single" w:sz="4" w:space="0" w:color="auto"/>
              <w:right w:val="single" w:sz="4" w:space="0" w:color="auto"/>
            </w:tcBorders>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8</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rPr>
                <w:rFonts w:eastAsia="Times New Roman" w:cs="Times New Roman"/>
                <w:sz w:val="20"/>
                <w:szCs w:val="20"/>
              </w:rPr>
            </w:pPr>
            <w:r w:rsidRPr="002F5AC4">
              <w:rPr>
                <w:rFonts w:eastAsia="Times New Roman" w:cs="Times New Roman"/>
                <w:sz w:val="20"/>
                <w:szCs w:val="20"/>
              </w:rPr>
              <w:t>ISTN31H Business Process Management</w:t>
            </w:r>
          </w:p>
        </w:tc>
        <w:tc>
          <w:tcPr>
            <w:tcW w:w="85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Pr>
                <w:rFonts w:eastAsia="Times New Roman" w:cs="Times New Roman"/>
                <w:sz w:val="20"/>
                <w:szCs w:val="20"/>
              </w:rPr>
              <w:t>7</w:t>
            </w:r>
          </w:p>
        </w:tc>
        <w:tc>
          <w:tcPr>
            <w:tcW w:w="962" w:type="dxa"/>
            <w:tcBorders>
              <w:top w:val="single" w:sz="4" w:space="0" w:color="auto"/>
              <w:left w:val="single" w:sz="4" w:space="0" w:color="auto"/>
              <w:bottom w:val="single" w:sz="4" w:space="0" w:color="auto"/>
              <w:right w:val="single" w:sz="4" w:space="0" w:color="auto"/>
            </w:tcBorders>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8</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vAlign w:val="center"/>
          </w:tcPr>
          <w:p w:rsidR="0084174D" w:rsidRPr="002F5AC4" w:rsidRDefault="0084174D" w:rsidP="007D7D34">
            <w:pPr>
              <w:spacing w:after="0"/>
              <w:rPr>
                <w:rFonts w:eastAsia="Times New Roman" w:cs="Times New Roman"/>
                <w:sz w:val="20"/>
                <w:szCs w:val="20"/>
              </w:rPr>
            </w:pPr>
            <w:r w:rsidRPr="002F5AC4">
              <w:rPr>
                <w:rFonts w:eastAsia="Times New Roman" w:cs="Times New Roman"/>
                <w:sz w:val="20"/>
                <w:szCs w:val="20"/>
              </w:rPr>
              <w:t>ISTN32A Advanced Systems Implementation</w:t>
            </w:r>
          </w:p>
        </w:tc>
        <w:tc>
          <w:tcPr>
            <w:tcW w:w="85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Pr>
                <w:rFonts w:eastAsia="Times New Roman" w:cs="Times New Roman"/>
                <w:sz w:val="20"/>
                <w:szCs w:val="20"/>
              </w:rPr>
              <w:t>7</w:t>
            </w:r>
          </w:p>
        </w:tc>
        <w:tc>
          <w:tcPr>
            <w:tcW w:w="962" w:type="dxa"/>
            <w:tcBorders>
              <w:top w:val="single" w:sz="4" w:space="0" w:color="auto"/>
              <w:left w:val="single" w:sz="4" w:space="0" w:color="auto"/>
              <w:bottom w:val="single" w:sz="4" w:space="0" w:color="auto"/>
              <w:right w:val="single" w:sz="4" w:space="0" w:color="auto"/>
            </w:tcBorders>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8</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vAlign w:val="center"/>
          </w:tcPr>
          <w:p w:rsidR="0084174D" w:rsidRPr="002F5AC4" w:rsidRDefault="0084174D" w:rsidP="007D7D34">
            <w:pPr>
              <w:spacing w:after="0"/>
              <w:rPr>
                <w:rFonts w:eastAsia="Times New Roman" w:cs="Times New Roman"/>
                <w:sz w:val="20"/>
                <w:szCs w:val="20"/>
              </w:rPr>
            </w:pPr>
            <w:r w:rsidRPr="002F5AC4">
              <w:rPr>
                <w:rFonts w:eastAsia="Times New Roman" w:cs="Times New Roman"/>
                <w:sz w:val="20"/>
                <w:szCs w:val="20"/>
              </w:rPr>
              <w:t>ISTN32B Applied Systems Implementation</w:t>
            </w:r>
          </w:p>
        </w:tc>
        <w:tc>
          <w:tcPr>
            <w:tcW w:w="85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Pr>
                <w:rFonts w:eastAsia="Times New Roman" w:cs="Times New Roman"/>
                <w:sz w:val="20"/>
                <w:szCs w:val="20"/>
              </w:rPr>
              <w:t>7</w:t>
            </w:r>
          </w:p>
        </w:tc>
        <w:tc>
          <w:tcPr>
            <w:tcW w:w="962" w:type="dxa"/>
            <w:tcBorders>
              <w:top w:val="single" w:sz="4" w:space="0" w:color="auto"/>
              <w:left w:val="single" w:sz="4" w:space="0" w:color="auto"/>
              <w:bottom w:val="single" w:sz="4" w:space="0" w:color="auto"/>
              <w:right w:val="single" w:sz="4" w:space="0" w:color="auto"/>
            </w:tcBorders>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8</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vAlign w:val="center"/>
          </w:tcPr>
          <w:p w:rsidR="0084174D" w:rsidRPr="002F5AC4" w:rsidRDefault="0084174D" w:rsidP="007D7D34">
            <w:pPr>
              <w:spacing w:after="0"/>
              <w:rPr>
                <w:rFonts w:eastAsia="Times New Roman" w:cs="Times New Roman"/>
                <w:sz w:val="20"/>
                <w:szCs w:val="20"/>
              </w:rPr>
            </w:pPr>
            <w:r w:rsidRPr="002F5AC4">
              <w:rPr>
                <w:rFonts w:eastAsia="Times New Roman" w:cs="Times New Roman"/>
                <w:sz w:val="20"/>
                <w:szCs w:val="20"/>
              </w:rPr>
              <w:t>ISTN32D Security</w:t>
            </w:r>
          </w:p>
        </w:tc>
        <w:tc>
          <w:tcPr>
            <w:tcW w:w="85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Pr>
                <w:rFonts w:eastAsia="Times New Roman" w:cs="Times New Roman"/>
                <w:sz w:val="20"/>
                <w:szCs w:val="20"/>
              </w:rPr>
              <w:t>7</w:t>
            </w:r>
          </w:p>
        </w:tc>
        <w:tc>
          <w:tcPr>
            <w:tcW w:w="962" w:type="dxa"/>
            <w:tcBorders>
              <w:top w:val="single" w:sz="4" w:space="0" w:color="auto"/>
              <w:left w:val="single" w:sz="4" w:space="0" w:color="auto"/>
              <w:bottom w:val="single" w:sz="4" w:space="0" w:color="auto"/>
              <w:right w:val="single" w:sz="4" w:space="0" w:color="auto"/>
            </w:tcBorders>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8</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rPr>
                <w:rFonts w:eastAsia="Times New Roman" w:cs="Times New Roman"/>
                <w:sz w:val="20"/>
                <w:szCs w:val="20"/>
              </w:rPr>
            </w:pPr>
            <w:r w:rsidRPr="002F5AC4">
              <w:rPr>
                <w:rFonts w:eastAsia="Times New Roman" w:cs="Times New Roman"/>
                <w:sz w:val="20"/>
                <w:szCs w:val="20"/>
              </w:rPr>
              <w:t>ISTN32E Info Infrastructure for Bus Solutions</w:t>
            </w:r>
          </w:p>
        </w:tc>
        <w:tc>
          <w:tcPr>
            <w:tcW w:w="85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Pr>
                <w:rFonts w:eastAsia="Times New Roman" w:cs="Times New Roman"/>
                <w:sz w:val="20"/>
                <w:szCs w:val="20"/>
              </w:rPr>
              <w:t>7</w:t>
            </w:r>
          </w:p>
        </w:tc>
        <w:tc>
          <w:tcPr>
            <w:tcW w:w="962" w:type="dxa"/>
            <w:tcBorders>
              <w:top w:val="single" w:sz="4" w:space="0" w:color="auto"/>
              <w:left w:val="single" w:sz="4" w:space="0" w:color="auto"/>
              <w:bottom w:val="single" w:sz="4" w:space="0" w:color="auto"/>
              <w:right w:val="single" w:sz="4" w:space="0" w:color="auto"/>
            </w:tcBorders>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8</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rPr>
                <w:rFonts w:eastAsia="Times New Roman" w:cs="Times New Roman"/>
                <w:sz w:val="20"/>
                <w:szCs w:val="20"/>
              </w:rPr>
            </w:pPr>
            <w:r w:rsidRPr="002F5AC4">
              <w:rPr>
                <w:rFonts w:eastAsia="Times New Roman" w:cs="Times New Roman"/>
                <w:sz w:val="20"/>
                <w:szCs w:val="20"/>
              </w:rPr>
              <w:t>ISTN32F Database Management</w:t>
            </w:r>
          </w:p>
        </w:tc>
        <w:tc>
          <w:tcPr>
            <w:tcW w:w="85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Pr>
                <w:rFonts w:eastAsia="Times New Roman" w:cs="Times New Roman"/>
                <w:sz w:val="20"/>
                <w:szCs w:val="20"/>
              </w:rPr>
              <w:t>7</w:t>
            </w:r>
          </w:p>
        </w:tc>
        <w:tc>
          <w:tcPr>
            <w:tcW w:w="962" w:type="dxa"/>
            <w:tcBorders>
              <w:top w:val="single" w:sz="4" w:space="0" w:color="auto"/>
              <w:left w:val="single" w:sz="4" w:space="0" w:color="auto"/>
              <w:bottom w:val="single" w:sz="4" w:space="0" w:color="auto"/>
              <w:right w:val="single" w:sz="4" w:space="0" w:color="auto"/>
            </w:tcBorders>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8</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rPr>
                <w:rFonts w:eastAsia="Times New Roman" w:cs="Times New Roman"/>
                <w:sz w:val="20"/>
                <w:szCs w:val="20"/>
              </w:rPr>
            </w:pPr>
            <w:r w:rsidRPr="002F5AC4">
              <w:rPr>
                <w:rFonts w:eastAsia="Times New Roman" w:cs="Times New Roman"/>
                <w:sz w:val="20"/>
                <w:szCs w:val="20"/>
              </w:rPr>
              <w:t xml:space="preserve">ISTN32G </w:t>
            </w:r>
            <w:proofErr w:type="spellStart"/>
            <w:r w:rsidRPr="002F5AC4">
              <w:rPr>
                <w:rFonts w:eastAsia="Times New Roman" w:cs="Times New Roman"/>
                <w:sz w:val="20"/>
                <w:szCs w:val="20"/>
              </w:rPr>
              <w:t>eCommerce</w:t>
            </w:r>
            <w:proofErr w:type="spellEnd"/>
            <w:r w:rsidRPr="002F5AC4">
              <w:rPr>
                <w:rFonts w:eastAsia="Times New Roman" w:cs="Times New Roman"/>
                <w:sz w:val="20"/>
                <w:szCs w:val="20"/>
              </w:rPr>
              <w:t xml:space="preserve"> Deployment</w:t>
            </w:r>
          </w:p>
        </w:tc>
        <w:tc>
          <w:tcPr>
            <w:tcW w:w="85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Pr>
                <w:rFonts w:eastAsia="Times New Roman" w:cs="Times New Roman"/>
                <w:sz w:val="20"/>
                <w:szCs w:val="20"/>
              </w:rPr>
              <w:t>7</w:t>
            </w:r>
          </w:p>
        </w:tc>
        <w:tc>
          <w:tcPr>
            <w:tcW w:w="962" w:type="dxa"/>
            <w:tcBorders>
              <w:top w:val="single" w:sz="4" w:space="0" w:color="auto"/>
              <w:left w:val="single" w:sz="4" w:space="0" w:color="auto"/>
              <w:bottom w:val="single" w:sz="4" w:space="0" w:color="auto"/>
              <w:right w:val="single" w:sz="4" w:space="0" w:color="auto"/>
            </w:tcBorders>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8</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rPr>
                <w:rFonts w:eastAsia="Times New Roman" w:cs="Times New Roman"/>
                <w:sz w:val="20"/>
                <w:szCs w:val="20"/>
              </w:rPr>
            </w:pPr>
            <w:r w:rsidRPr="002F5AC4">
              <w:rPr>
                <w:rFonts w:eastAsia="Times New Roman" w:cs="Times New Roman"/>
                <w:sz w:val="20"/>
                <w:szCs w:val="20"/>
              </w:rPr>
              <w:lastRenderedPageBreak/>
              <w:t>ISTN32H Consulting</w:t>
            </w:r>
          </w:p>
        </w:tc>
        <w:tc>
          <w:tcPr>
            <w:tcW w:w="85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Pr>
                <w:rFonts w:eastAsia="Times New Roman" w:cs="Times New Roman"/>
                <w:sz w:val="20"/>
                <w:szCs w:val="20"/>
              </w:rPr>
              <w:t>7</w:t>
            </w:r>
          </w:p>
        </w:tc>
        <w:tc>
          <w:tcPr>
            <w:tcW w:w="962" w:type="dxa"/>
            <w:tcBorders>
              <w:top w:val="single" w:sz="4" w:space="0" w:color="auto"/>
              <w:left w:val="single" w:sz="4" w:space="0" w:color="auto"/>
              <w:bottom w:val="single" w:sz="4" w:space="0" w:color="auto"/>
              <w:right w:val="single" w:sz="4" w:space="0" w:color="auto"/>
            </w:tcBorders>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8</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rPr>
                <w:rFonts w:eastAsia="Times New Roman" w:cs="Times New Roman"/>
                <w:sz w:val="20"/>
                <w:szCs w:val="20"/>
              </w:rPr>
            </w:pPr>
            <w:r w:rsidRPr="002F5AC4">
              <w:rPr>
                <w:rFonts w:eastAsia="Times New Roman" w:cs="Times New Roman"/>
                <w:sz w:val="20"/>
                <w:szCs w:val="20"/>
              </w:rPr>
              <w:t>ISTN32L Special Topics in IS&amp;T</w:t>
            </w:r>
          </w:p>
        </w:tc>
        <w:tc>
          <w:tcPr>
            <w:tcW w:w="85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Pr>
                <w:rFonts w:eastAsia="Times New Roman" w:cs="Times New Roman"/>
                <w:sz w:val="20"/>
                <w:szCs w:val="20"/>
              </w:rPr>
              <w:t>7</w:t>
            </w:r>
          </w:p>
        </w:tc>
        <w:tc>
          <w:tcPr>
            <w:tcW w:w="962" w:type="dxa"/>
            <w:tcBorders>
              <w:top w:val="single" w:sz="4" w:space="0" w:color="auto"/>
              <w:left w:val="single" w:sz="4" w:space="0" w:color="auto"/>
              <w:bottom w:val="single" w:sz="4" w:space="0" w:color="auto"/>
              <w:right w:val="single" w:sz="4" w:space="0" w:color="auto"/>
            </w:tcBorders>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8</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rPr>
                <w:rFonts w:eastAsia="Times New Roman" w:cs="Times New Roman"/>
                <w:sz w:val="20"/>
                <w:szCs w:val="20"/>
              </w:rPr>
            </w:pPr>
            <w:r w:rsidRPr="002F5AC4">
              <w:rPr>
                <w:rFonts w:eastAsia="Times New Roman" w:cs="Times New Roman"/>
                <w:sz w:val="20"/>
                <w:szCs w:val="20"/>
              </w:rPr>
              <w:t>MGNT307 Corporate Strategy</w:t>
            </w:r>
          </w:p>
        </w:tc>
        <w:tc>
          <w:tcPr>
            <w:tcW w:w="85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Pr>
                <w:rFonts w:eastAsia="Times New Roman" w:cs="Times New Roman"/>
                <w:sz w:val="20"/>
                <w:szCs w:val="20"/>
              </w:rPr>
              <w:t>7</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rPr>
                <w:rFonts w:eastAsia="Times New Roman" w:cs="Times New Roman"/>
                <w:sz w:val="20"/>
                <w:szCs w:val="20"/>
              </w:rPr>
            </w:pPr>
            <w:r w:rsidRPr="002F5AC4">
              <w:rPr>
                <w:rFonts w:eastAsia="Times New Roman" w:cs="Times New Roman"/>
                <w:sz w:val="20"/>
                <w:szCs w:val="20"/>
              </w:rPr>
              <w:t>MGNT310 Business Ethics</w:t>
            </w:r>
          </w:p>
        </w:tc>
        <w:tc>
          <w:tcPr>
            <w:tcW w:w="85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Pr>
                <w:rFonts w:eastAsia="Times New Roman" w:cs="Times New Roman"/>
                <w:sz w:val="20"/>
                <w:szCs w:val="20"/>
              </w:rPr>
              <w:t>7</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vAlign w:val="center"/>
          </w:tcPr>
          <w:p w:rsidR="0084174D" w:rsidRPr="002F5AC4" w:rsidRDefault="0084174D" w:rsidP="007D7D34">
            <w:pPr>
              <w:spacing w:after="0"/>
              <w:rPr>
                <w:rFonts w:eastAsia="Times New Roman" w:cs="Times New Roman"/>
                <w:sz w:val="20"/>
                <w:szCs w:val="20"/>
              </w:rPr>
            </w:pPr>
            <w:r w:rsidRPr="002F5AC4">
              <w:rPr>
                <w:rFonts w:eastAsia="Times New Roman" w:cs="Times New Roman"/>
                <w:sz w:val="20"/>
                <w:szCs w:val="20"/>
              </w:rPr>
              <w:t>MGNT314 Technology Management</w:t>
            </w:r>
          </w:p>
        </w:tc>
        <w:tc>
          <w:tcPr>
            <w:tcW w:w="85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Pr>
                <w:rFonts w:eastAsia="Times New Roman" w:cs="Times New Roman"/>
                <w:sz w:val="20"/>
                <w:szCs w:val="20"/>
              </w:rPr>
              <w:t>7</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rPr>
                <w:rFonts w:eastAsia="Times New Roman" w:cs="Times New Roman"/>
                <w:sz w:val="20"/>
                <w:szCs w:val="20"/>
              </w:rPr>
            </w:pPr>
            <w:r w:rsidRPr="002F5AC4">
              <w:rPr>
                <w:rFonts w:eastAsia="Times New Roman" w:cs="Times New Roman"/>
                <w:sz w:val="20"/>
                <w:szCs w:val="20"/>
              </w:rPr>
              <w:t>MGNT315 International Business</w:t>
            </w:r>
          </w:p>
        </w:tc>
        <w:tc>
          <w:tcPr>
            <w:tcW w:w="85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Pr>
                <w:rFonts w:eastAsia="Times New Roman" w:cs="Times New Roman"/>
                <w:sz w:val="20"/>
                <w:szCs w:val="20"/>
              </w:rPr>
              <w:t>7</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rPr>
                <w:rFonts w:eastAsia="Times New Roman" w:cs="Times New Roman"/>
                <w:sz w:val="20"/>
                <w:szCs w:val="20"/>
              </w:rPr>
            </w:pPr>
            <w:r w:rsidRPr="002F5AC4">
              <w:rPr>
                <w:rFonts w:eastAsia="Times New Roman" w:cs="Times New Roman"/>
                <w:sz w:val="20"/>
                <w:szCs w:val="20"/>
              </w:rPr>
              <w:t>SCMA301 Operations &amp; Supply Chain Management</w:t>
            </w:r>
          </w:p>
        </w:tc>
        <w:tc>
          <w:tcPr>
            <w:tcW w:w="85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Pr>
                <w:rFonts w:eastAsia="Times New Roman" w:cs="Times New Roman"/>
                <w:sz w:val="20"/>
                <w:szCs w:val="20"/>
              </w:rPr>
              <w:t>7</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rPr>
                <w:rFonts w:eastAsia="Times New Roman" w:cs="Times New Roman"/>
                <w:sz w:val="20"/>
                <w:szCs w:val="20"/>
              </w:rPr>
            </w:pPr>
            <w:r w:rsidRPr="002F5AC4">
              <w:rPr>
                <w:rFonts w:eastAsia="Times New Roman" w:cs="Times New Roman"/>
                <w:sz w:val="20"/>
                <w:szCs w:val="20"/>
              </w:rPr>
              <w:t>SCMA305 Purchasing Management &amp; Contemporary Issues</w:t>
            </w:r>
          </w:p>
        </w:tc>
        <w:tc>
          <w:tcPr>
            <w:tcW w:w="85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Pr>
                <w:rFonts w:eastAsia="Times New Roman" w:cs="Times New Roman"/>
                <w:sz w:val="20"/>
                <w:szCs w:val="20"/>
              </w:rPr>
              <w:t>7</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rPr>
                <w:rFonts w:eastAsia="Times New Roman" w:cs="Times New Roman"/>
                <w:sz w:val="20"/>
                <w:szCs w:val="20"/>
              </w:rPr>
            </w:pPr>
            <w:r w:rsidRPr="002F5AC4">
              <w:rPr>
                <w:rFonts w:eastAsia="Times New Roman" w:cs="Times New Roman"/>
                <w:sz w:val="20"/>
                <w:szCs w:val="20"/>
              </w:rPr>
              <w:t>SCMA306 Logistics &amp; Physical Distribution</w:t>
            </w:r>
          </w:p>
        </w:tc>
        <w:tc>
          <w:tcPr>
            <w:tcW w:w="85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Pr>
                <w:rFonts w:eastAsia="Times New Roman" w:cs="Times New Roman"/>
                <w:sz w:val="20"/>
                <w:szCs w:val="20"/>
              </w:rPr>
              <w:t>7</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r w:rsidR="0084174D" w:rsidRPr="00842A09" w:rsidTr="007D7D34">
        <w:tc>
          <w:tcPr>
            <w:tcW w:w="4900"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rPr>
                <w:rFonts w:eastAsia="Times New Roman" w:cs="Times New Roman"/>
                <w:sz w:val="20"/>
                <w:szCs w:val="20"/>
              </w:rPr>
            </w:pPr>
            <w:r w:rsidRPr="002F5AC4">
              <w:rPr>
                <w:rFonts w:eastAsia="Times New Roman" w:cs="Times New Roman"/>
                <w:sz w:val="20"/>
                <w:szCs w:val="20"/>
              </w:rPr>
              <w:t>SCMA311 Special Topics in Supply Chain Management</w:t>
            </w:r>
          </w:p>
        </w:tc>
        <w:tc>
          <w:tcPr>
            <w:tcW w:w="85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3</w:t>
            </w:r>
          </w:p>
        </w:tc>
        <w:tc>
          <w:tcPr>
            <w:tcW w:w="1701"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sidRPr="002F5AC4">
              <w:rPr>
                <w:rFonts w:eastAsia="Times New Roman" w:cs="Times New Roman"/>
                <w:sz w:val="20"/>
                <w:szCs w:val="20"/>
              </w:rPr>
              <w:t>E</w:t>
            </w:r>
          </w:p>
        </w:tc>
        <w:tc>
          <w:tcPr>
            <w:tcW w:w="1134" w:type="dxa"/>
            <w:tcBorders>
              <w:top w:val="single" w:sz="4" w:space="0" w:color="auto"/>
              <w:left w:val="single" w:sz="4" w:space="0" w:color="auto"/>
              <w:bottom w:val="single" w:sz="4" w:space="0" w:color="auto"/>
              <w:right w:val="single" w:sz="4" w:space="0" w:color="auto"/>
            </w:tcBorders>
            <w:vAlign w:val="bottom"/>
          </w:tcPr>
          <w:p w:rsidR="0084174D" w:rsidRPr="002F5AC4" w:rsidRDefault="0084174D" w:rsidP="007D7D34">
            <w:pPr>
              <w:spacing w:after="0"/>
              <w:jc w:val="center"/>
              <w:rPr>
                <w:rFonts w:eastAsia="Times New Roman" w:cs="Times New Roman"/>
                <w:sz w:val="20"/>
                <w:szCs w:val="20"/>
              </w:rPr>
            </w:pPr>
            <w:r>
              <w:rPr>
                <w:rFonts w:eastAsia="Times New Roman" w:cs="Times New Roman"/>
                <w:sz w:val="20"/>
                <w:szCs w:val="20"/>
              </w:rPr>
              <w:t>7</w:t>
            </w:r>
          </w:p>
        </w:tc>
        <w:tc>
          <w:tcPr>
            <w:tcW w:w="962" w:type="dxa"/>
            <w:tcBorders>
              <w:top w:val="single" w:sz="4" w:space="0" w:color="auto"/>
              <w:left w:val="single" w:sz="4" w:space="0" w:color="auto"/>
              <w:bottom w:val="single" w:sz="4" w:space="0" w:color="auto"/>
              <w:right w:val="single" w:sz="4" w:space="0" w:color="auto"/>
            </w:tcBorders>
          </w:tcPr>
          <w:p w:rsidR="0084174D" w:rsidRPr="00842A09" w:rsidRDefault="0084174D" w:rsidP="007D7D34">
            <w:pPr>
              <w:spacing w:after="0"/>
              <w:jc w:val="center"/>
              <w:rPr>
                <w:rFonts w:eastAsia="Times New Roman" w:cs="Times New Roman"/>
                <w:sz w:val="20"/>
                <w:szCs w:val="20"/>
              </w:rPr>
            </w:pPr>
            <w:r w:rsidRPr="00842A09">
              <w:rPr>
                <w:rFonts w:eastAsia="Times New Roman" w:cs="Times New Roman"/>
                <w:sz w:val="20"/>
                <w:szCs w:val="20"/>
              </w:rPr>
              <w:t>16</w:t>
            </w:r>
          </w:p>
        </w:tc>
      </w:tr>
    </w:tbl>
    <w:p w:rsidR="0084174D" w:rsidRDefault="0084174D" w:rsidP="0084174D"/>
    <w:p w:rsidR="00335C36" w:rsidRDefault="00335C36" w:rsidP="000F5148">
      <w:pPr>
        <w:spacing w:line="240" w:lineRule="auto"/>
        <w:rPr>
          <w:rFonts w:ascii="Arial" w:eastAsia="Times New Roman" w:hAnsi="Arial" w:cs="Arial"/>
          <w:bCs/>
          <w:sz w:val="24"/>
          <w:szCs w:val="24"/>
          <w:lang w:eastAsia="en-GB"/>
        </w:rPr>
      </w:pPr>
    </w:p>
    <w:p w:rsidR="00335C36" w:rsidRPr="00E85BC1" w:rsidRDefault="00192812" w:rsidP="000F5148">
      <w:pPr>
        <w:spacing w:line="240" w:lineRule="auto"/>
        <w:rPr>
          <w:rFonts w:eastAsia="Times New Roman" w:cs="Arial"/>
          <w:bCs/>
          <w:sz w:val="24"/>
          <w:szCs w:val="24"/>
          <w:lang w:eastAsia="en-GB"/>
        </w:rPr>
      </w:pPr>
      <w:r w:rsidRPr="00E85BC1">
        <w:rPr>
          <w:rFonts w:eastAsia="Times New Roman" w:cs="Arial"/>
          <w:bCs/>
          <w:sz w:val="24"/>
          <w:szCs w:val="24"/>
          <w:lang w:eastAsia="en-GB"/>
        </w:rPr>
        <w:t>The next section discusses Action 2 regarding assessment strategy.</w:t>
      </w:r>
    </w:p>
    <w:p w:rsidR="00337048" w:rsidRDefault="00337048" w:rsidP="000F5148">
      <w:pPr>
        <w:spacing w:line="240" w:lineRule="auto"/>
        <w:rPr>
          <w:rFonts w:ascii="Arial" w:eastAsia="Times New Roman" w:hAnsi="Arial" w:cs="Arial"/>
          <w:bCs/>
          <w:sz w:val="24"/>
          <w:szCs w:val="24"/>
          <w:lang w:eastAsia="en-GB"/>
        </w:rPr>
      </w:pPr>
    </w:p>
    <w:p w:rsidR="00A81A36" w:rsidRDefault="00A81A36" w:rsidP="00A81A36">
      <w:pPr>
        <w:spacing w:line="240" w:lineRule="auto"/>
        <w:jc w:val="center"/>
        <w:rPr>
          <w:rFonts w:ascii="Calibri" w:eastAsia="Times New Roman" w:hAnsi="Calibri" w:cs="Times New Roman"/>
          <w:b/>
          <w:sz w:val="28"/>
          <w:szCs w:val="28"/>
          <w:u w:val="single"/>
          <w:lang w:eastAsia="en-GB"/>
        </w:rPr>
      </w:pPr>
      <w:r>
        <w:rPr>
          <w:rFonts w:ascii="Calibri" w:eastAsia="Times New Roman" w:hAnsi="Calibri" w:cs="Times New Roman"/>
          <w:b/>
          <w:sz w:val="28"/>
          <w:szCs w:val="28"/>
          <w:u w:val="single"/>
          <w:lang w:eastAsia="en-GB"/>
        </w:rPr>
        <w:t>ACTION 2</w:t>
      </w:r>
    </w:p>
    <w:p w:rsidR="00992A6C" w:rsidRPr="00992A6C" w:rsidRDefault="00992A6C" w:rsidP="00992A6C">
      <w:pPr>
        <w:spacing w:line="240" w:lineRule="auto"/>
        <w:rPr>
          <w:rFonts w:ascii="Calibri" w:eastAsia="Times New Roman" w:hAnsi="Calibri" w:cs="Times New Roman"/>
          <w:b/>
          <w:sz w:val="28"/>
          <w:szCs w:val="28"/>
          <w:lang w:eastAsia="en-GB"/>
        </w:rPr>
      </w:pPr>
      <w:r w:rsidRPr="00992A6C">
        <w:rPr>
          <w:rFonts w:ascii="Calibri" w:eastAsia="Times New Roman" w:hAnsi="Calibri" w:cs="Times New Roman"/>
          <w:b/>
          <w:sz w:val="28"/>
          <w:szCs w:val="28"/>
          <w:lang w:eastAsia="en-GB"/>
        </w:rPr>
        <w:t xml:space="preserve">Discuss the overall assessment strategy and indicate the constructive alignment of the programme design, teaching and learning procedures to the learning outcomes (Criteria 6 </w:t>
      </w:r>
      <w:r w:rsidR="00893E24">
        <w:rPr>
          <w:rFonts w:ascii="Calibri" w:eastAsia="Times New Roman" w:hAnsi="Calibri" w:cs="Times New Roman"/>
          <w:b/>
          <w:sz w:val="28"/>
          <w:szCs w:val="28"/>
          <w:lang w:eastAsia="en-GB"/>
        </w:rPr>
        <w:t>I</w:t>
      </w:r>
      <w:r w:rsidRPr="00992A6C">
        <w:rPr>
          <w:rFonts w:ascii="Calibri" w:eastAsia="Times New Roman" w:hAnsi="Calibri" w:cs="Times New Roman"/>
          <w:b/>
          <w:sz w:val="28"/>
          <w:szCs w:val="28"/>
          <w:lang w:eastAsia="en-GB"/>
        </w:rPr>
        <w:t xml:space="preserve">, 13 </w:t>
      </w:r>
      <w:proofErr w:type="spellStart"/>
      <w:r w:rsidRPr="00992A6C">
        <w:rPr>
          <w:rFonts w:ascii="Calibri" w:eastAsia="Times New Roman" w:hAnsi="Calibri" w:cs="Times New Roman"/>
          <w:b/>
          <w:sz w:val="28"/>
          <w:szCs w:val="28"/>
          <w:lang w:eastAsia="en-GB"/>
        </w:rPr>
        <w:t>i</w:t>
      </w:r>
      <w:proofErr w:type="spellEnd"/>
      <w:r w:rsidRPr="00992A6C">
        <w:rPr>
          <w:rFonts w:ascii="Calibri" w:eastAsia="Times New Roman" w:hAnsi="Calibri" w:cs="Times New Roman"/>
          <w:b/>
          <w:sz w:val="28"/>
          <w:szCs w:val="28"/>
          <w:lang w:eastAsia="en-GB"/>
        </w:rPr>
        <w:t>).</w:t>
      </w:r>
    </w:p>
    <w:p w:rsidR="00992A6C" w:rsidRPr="00E85BC1" w:rsidRDefault="00BB09DE" w:rsidP="00992A6C">
      <w:pPr>
        <w:spacing w:line="240" w:lineRule="auto"/>
        <w:rPr>
          <w:rFonts w:eastAsia="Times New Roman" w:cs="Arial"/>
          <w:sz w:val="24"/>
          <w:szCs w:val="24"/>
          <w:lang w:eastAsia="en-GB"/>
        </w:rPr>
      </w:pPr>
      <w:r w:rsidRPr="00E85BC1">
        <w:rPr>
          <w:rFonts w:eastAsia="Times New Roman" w:cs="Arial"/>
          <w:sz w:val="24"/>
          <w:szCs w:val="24"/>
          <w:lang w:eastAsia="en-GB"/>
        </w:rPr>
        <w:t>The learning outcomes of the programme are followed by Table 4 which displays an increasingly demanding overall asse</w:t>
      </w:r>
      <w:r w:rsidR="00992A6C" w:rsidRPr="00E85BC1">
        <w:rPr>
          <w:rFonts w:eastAsia="Times New Roman" w:cs="Arial"/>
          <w:sz w:val="24"/>
          <w:szCs w:val="24"/>
          <w:lang w:eastAsia="en-GB"/>
        </w:rPr>
        <w:t>ssment strategy</w:t>
      </w:r>
      <w:r w:rsidRPr="00E85BC1">
        <w:rPr>
          <w:rFonts w:eastAsia="Times New Roman" w:cs="Arial"/>
          <w:sz w:val="24"/>
          <w:szCs w:val="24"/>
          <w:lang w:eastAsia="en-GB"/>
        </w:rPr>
        <w:t xml:space="preserve"> for each undergraduate level to achieve continuity and progression of knowledge.</w:t>
      </w:r>
    </w:p>
    <w:p w:rsidR="00337048" w:rsidRDefault="00337048" w:rsidP="00E251F7">
      <w:pPr>
        <w:autoSpaceDE w:val="0"/>
        <w:autoSpaceDN w:val="0"/>
        <w:adjustRightInd w:val="0"/>
        <w:spacing w:after="0" w:line="240" w:lineRule="auto"/>
        <w:jc w:val="center"/>
        <w:rPr>
          <w:rFonts w:cs="Arial"/>
          <w:sz w:val="24"/>
          <w:szCs w:val="24"/>
        </w:rPr>
      </w:pPr>
    </w:p>
    <w:p w:rsidR="00057B58" w:rsidRPr="00E85BC1" w:rsidRDefault="00057B58" w:rsidP="00E251F7">
      <w:pPr>
        <w:autoSpaceDE w:val="0"/>
        <w:autoSpaceDN w:val="0"/>
        <w:adjustRightInd w:val="0"/>
        <w:spacing w:after="0" w:line="240" w:lineRule="auto"/>
        <w:jc w:val="center"/>
        <w:rPr>
          <w:rFonts w:cs="Arial"/>
          <w:sz w:val="24"/>
          <w:szCs w:val="24"/>
        </w:rPr>
      </w:pPr>
    </w:p>
    <w:p w:rsidR="00337048" w:rsidRPr="00E85BC1" w:rsidRDefault="00337048" w:rsidP="00E251F7">
      <w:pPr>
        <w:autoSpaceDE w:val="0"/>
        <w:autoSpaceDN w:val="0"/>
        <w:adjustRightInd w:val="0"/>
        <w:spacing w:after="0" w:line="240" w:lineRule="auto"/>
        <w:jc w:val="center"/>
        <w:rPr>
          <w:rFonts w:cs="Arial"/>
          <w:sz w:val="24"/>
          <w:szCs w:val="24"/>
        </w:rPr>
      </w:pPr>
    </w:p>
    <w:p w:rsidR="00337048" w:rsidRPr="00E85BC1" w:rsidRDefault="00337048" w:rsidP="00E251F7">
      <w:pPr>
        <w:autoSpaceDE w:val="0"/>
        <w:autoSpaceDN w:val="0"/>
        <w:adjustRightInd w:val="0"/>
        <w:spacing w:after="0" w:line="240" w:lineRule="auto"/>
        <w:jc w:val="center"/>
        <w:rPr>
          <w:rFonts w:cs="Arial"/>
          <w:sz w:val="24"/>
          <w:szCs w:val="24"/>
        </w:rPr>
      </w:pPr>
    </w:p>
    <w:p w:rsidR="00E251F7" w:rsidRPr="00E85BC1" w:rsidRDefault="00E251F7" w:rsidP="00E251F7">
      <w:pPr>
        <w:autoSpaceDE w:val="0"/>
        <w:autoSpaceDN w:val="0"/>
        <w:adjustRightInd w:val="0"/>
        <w:spacing w:after="0" w:line="240" w:lineRule="auto"/>
        <w:jc w:val="center"/>
        <w:rPr>
          <w:rFonts w:cs="Arial"/>
          <w:sz w:val="24"/>
          <w:szCs w:val="24"/>
        </w:rPr>
      </w:pPr>
      <w:proofErr w:type="spellStart"/>
      <w:r w:rsidRPr="00E85BC1">
        <w:rPr>
          <w:rFonts w:cs="Arial"/>
          <w:sz w:val="24"/>
          <w:szCs w:val="24"/>
        </w:rPr>
        <w:t>BAdmin</w:t>
      </w:r>
      <w:proofErr w:type="spellEnd"/>
      <w:r w:rsidRPr="00E85BC1">
        <w:rPr>
          <w:rFonts w:cs="Arial"/>
          <w:sz w:val="24"/>
          <w:szCs w:val="24"/>
        </w:rPr>
        <w:t xml:space="preserve"> Programme Exit Level Outcomes</w:t>
      </w:r>
    </w:p>
    <w:p w:rsidR="00E251F7" w:rsidRPr="00E85BC1" w:rsidRDefault="00E251F7" w:rsidP="00E251F7">
      <w:pPr>
        <w:autoSpaceDE w:val="0"/>
        <w:autoSpaceDN w:val="0"/>
        <w:adjustRightInd w:val="0"/>
        <w:spacing w:after="0" w:line="240" w:lineRule="auto"/>
        <w:rPr>
          <w:rFonts w:cs="Arial"/>
          <w:sz w:val="24"/>
          <w:szCs w:val="24"/>
        </w:rPr>
      </w:pPr>
    </w:p>
    <w:p w:rsidR="00E251F7" w:rsidRPr="00E85BC1" w:rsidRDefault="00E251F7" w:rsidP="00E251F7">
      <w:pPr>
        <w:autoSpaceDE w:val="0"/>
        <w:autoSpaceDN w:val="0"/>
        <w:adjustRightInd w:val="0"/>
        <w:spacing w:after="0" w:line="240" w:lineRule="auto"/>
        <w:rPr>
          <w:rFonts w:cs="Arial"/>
          <w:sz w:val="24"/>
          <w:szCs w:val="24"/>
        </w:rPr>
      </w:pPr>
      <w:r w:rsidRPr="00E85BC1">
        <w:rPr>
          <w:rFonts w:cs="Arial"/>
          <w:sz w:val="24"/>
          <w:szCs w:val="24"/>
        </w:rPr>
        <w:t xml:space="preserve">Upon completion of the </w:t>
      </w:r>
      <w:proofErr w:type="spellStart"/>
      <w:r w:rsidRPr="00E85BC1">
        <w:rPr>
          <w:rFonts w:cs="Arial"/>
          <w:sz w:val="24"/>
          <w:szCs w:val="24"/>
        </w:rPr>
        <w:t>BAdmin</w:t>
      </w:r>
      <w:proofErr w:type="spellEnd"/>
      <w:r w:rsidRPr="00E85BC1">
        <w:rPr>
          <w:rFonts w:cs="Arial"/>
          <w:sz w:val="24"/>
          <w:szCs w:val="24"/>
        </w:rPr>
        <w:t xml:space="preserve"> degree students will be able to </w:t>
      </w:r>
    </w:p>
    <w:p w:rsidR="00E251F7" w:rsidRPr="00E85BC1" w:rsidRDefault="00E251F7" w:rsidP="00E251F7">
      <w:pPr>
        <w:autoSpaceDE w:val="0"/>
        <w:autoSpaceDN w:val="0"/>
        <w:adjustRightInd w:val="0"/>
        <w:spacing w:after="0" w:line="240" w:lineRule="auto"/>
        <w:rPr>
          <w:rFonts w:cs="Arial"/>
          <w:sz w:val="24"/>
          <w:szCs w:val="24"/>
        </w:rPr>
      </w:pPr>
    </w:p>
    <w:p w:rsidR="00E251F7" w:rsidRPr="00E85BC1" w:rsidRDefault="00E251F7" w:rsidP="00E251F7">
      <w:pPr>
        <w:pStyle w:val="ListParagraph"/>
        <w:numPr>
          <w:ilvl w:val="0"/>
          <w:numId w:val="3"/>
        </w:numPr>
        <w:autoSpaceDE w:val="0"/>
        <w:autoSpaceDN w:val="0"/>
        <w:adjustRightInd w:val="0"/>
        <w:spacing w:after="0" w:line="240" w:lineRule="auto"/>
        <w:jc w:val="both"/>
        <w:rPr>
          <w:rFonts w:cs="Arial"/>
          <w:sz w:val="24"/>
          <w:szCs w:val="24"/>
        </w:rPr>
      </w:pPr>
      <w:r w:rsidRPr="00E85BC1">
        <w:rPr>
          <w:rFonts w:cs="Arial"/>
          <w:sz w:val="24"/>
          <w:szCs w:val="24"/>
        </w:rPr>
        <w:t>Demonstrate integrated knowledge of public administration, management and policy (collectively, public governance or public affairs) including its inter-</w:t>
      </w:r>
      <w:proofErr w:type="spellStart"/>
      <w:r w:rsidRPr="00E85BC1">
        <w:rPr>
          <w:rFonts w:cs="Arial"/>
          <w:sz w:val="24"/>
          <w:szCs w:val="24"/>
        </w:rPr>
        <w:t>mutli</w:t>
      </w:r>
      <w:proofErr w:type="spellEnd"/>
      <w:r w:rsidRPr="00E85BC1">
        <w:rPr>
          <w:rFonts w:cs="Arial"/>
          <w:sz w:val="24"/>
          <w:szCs w:val="24"/>
        </w:rPr>
        <w:t>-transdisciplinary nature and the ability to evaluate and apply the key terms, concepts, facts, principles, rules and theories of public governance; and detailed knowledge of subfields in relation to other fields.</w:t>
      </w:r>
    </w:p>
    <w:p w:rsidR="00E251F7" w:rsidRPr="00E85BC1" w:rsidRDefault="00E251F7" w:rsidP="00E251F7">
      <w:pPr>
        <w:autoSpaceDE w:val="0"/>
        <w:autoSpaceDN w:val="0"/>
        <w:adjustRightInd w:val="0"/>
        <w:spacing w:after="0" w:line="240" w:lineRule="auto"/>
        <w:jc w:val="both"/>
        <w:rPr>
          <w:rFonts w:cs="Arial"/>
          <w:sz w:val="24"/>
          <w:szCs w:val="24"/>
        </w:rPr>
      </w:pPr>
    </w:p>
    <w:p w:rsidR="00E251F7" w:rsidRPr="00E85BC1" w:rsidRDefault="00E251F7" w:rsidP="00E251F7">
      <w:pPr>
        <w:pStyle w:val="ListParagraph"/>
        <w:numPr>
          <w:ilvl w:val="0"/>
          <w:numId w:val="3"/>
        </w:numPr>
        <w:autoSpaceDE w:val="0"/>
        <w:autoSpaceDN w:val="0"/>
        <w:adjustRightInd w:val="0"/>
        <w:spacing w:after="0" w:line="240" w:lineRule="auto"/>
        <w:jc w:val="both"/>
        <w:rPr>
          <w:rFonts w:cs="Arial"/>
          <w:sz w:val="24"/>
          <w:szCs w:val="24"/>
        </w:rPr>
      </w:pPr>
      <w:r w:rsidRPr="00E85BC1">
        <w:rPr>
          <w:rFonts w:cs="Arial"/>
          <w:sz w:val="24"/>
          <w:szCs w:val="24"/>
        </w:rPr>
        <w:t>Display an understanding that knowledge is contested, that sources of knowledge are to be verified and evaluated and explanations of knowledge to be interrogated and critically analysed in the context of historical and contemporary public affairs.</w:t>
      </w:r>
    </w:p>
    <w:p w:rsidR="00E251F7" w:rsidRPr="00E85BC1" w:rsidRDefault="00E251F7" w:rsidP="00E251F7">
      <w:pPr>
        <w:autoSpaceDE w:val="0"/>
        <w:autoSpaceDN w:val="0"/>
        <w:adjustRightInd w:val="0"/>
        <w:spacing w:after="0" w:line="240" w:lineRule="auto"/>
        <w:jc w:val="both"/>
        <w:rPr>
          <w:rFonts w:cs="Arial"/>
          <w:sz w:val="24"/>
          <w:szCs w:val="24"/>
        </w:rPr>
      </w:pPr>
    </w:p>
    <w:p w:rsidR="00E251F7" w:rsidRPr="00E85BC1" w:rsidRDefault="00E251F7" w:rsidP="00E251F7">
      <w:pPr>
        <w:pStyle w:val="ListParagraph"/>
        <w:numPr>
          <w:ilvl w:val="0"/>
          <w:numId w:val="3"/>
        </w:numPr>
        <w:autoSpaceDE w:val="0"/>
        <w:autoSpaceDN w:val="0"/>
        <w:adjustRightInd w:val="0"/>
        <w:spacing w:after="0" w:line="240" w:lineRule="auto"/>
        <w:jc w:val="both"/>
        <w:rPr>
          <w:rFonts w:cs="Arial"/>
          <w:sz w:val="24"/>
          <w:szCs w:val="24"/>
        </w:rPr>
      </w:pPr>
      <w:r w:rsidRPr="00E85BC1">
        <w:rPr>
          <w:rFonts w:cs="Arial"/>
          <w:sz w:val="24"/>
          <w:szCs w:val="24"/>
        </w:rPr>
        <w:t xml:space="preserve">Exhibit comprehension of a range of methods of enquiry into public governance, their suitability to a type of investigation and the ability to discern a range of methods and </w:t>
      </w:r>
      <w:r w:rsidRPr="00E85BC1">
        <w:rPr>
          <w:rFonts w:cs="Arial"/>
          <w:sz w:val="24"/>
          <w:szCs w:val="24"/>
        </w:rPr>
        <w:lastRenderedPageBreak/>
        <w:t>to select appropriate methods to resolve public governance problems or to bring positive change to public, non-governmental and private sectors, including the nature of public-private partnerships concerned with development and service delivery.</w:t>
      </w:r>
    </w:p>
    <w:p w:rsidR="00E251F7" w:rsidRPr="00E85BC1" w:rsidRDefault="00E251F7" w:rsidP="00E251F7">
      <w:pPr>
        <w:autoSpaceDE w:val="0"/>
        <w:autoSpaceDN w:val="0"/>
        <w:adjustRightInd w:val="0"/>
        <w:spacing w:after="0" w:line="240" w:lineRule="auto"/>
        <w:jc w:val="both"/>
        <w:rPr>
          <w:rFonts w:cs="Arial"/>
          <w:sz w:val="24"/>
          <w:szCs w:val="24"/>
        </w:rPr>
      </w:pPr>
    </w:p>
    <w:p w:rsidR="00E251F7" w:rsidRPr="00E85BC1" w:rsidRDefault="00E251F7" w:rsidP="00E251F7">
      <w:pPr>
        <w:pStyle w:val="ListParagraph"/>
        <w:numPr>
          <w:ilvl w:val="0"/>
          <w:numId w:val="3"/>
        </w:numPr>
        <w:autoSpaceDE w:val="0"/>
        <w:autoSpaceDN w:val="0"/>
        <w:adjustRightInd w:val="0"/>
        <w:spacing w:after="0" w:line="240" w:lineRule="auto"/>
        <w:jc w:val="both"/>
        <w:rPr>
          <w:rFonts w:cs="Arial"/>
          <w:sz w:val="24"/>
          <w:szCs w:val="24"/>
        </w:rPr>
      </w:pPr>
      <w:r w:rsidRPr="00E85BC1">
        <w:rPr>
          <w:rFonts w:cs="Arial"/>
          <w:sz w:val="24"/>
          <w:szCs w:val="24"/>
        </w:rPr>
        <w:t>Demonstrate the capacity to identify, articulate, frame, analyse, evaluate, critically reflect on and address complex public governance problems, applying evidence-based solutions and theory-driven arguments informed by South Africa and Africa’s historical legacies – including discovery and application of indigenous knowledge, indigenous knowledge systems and contestation of residues of colonialism and apartheid; yet in light of contemporary realities in a local, national, regional, continental and global context.</w:t>
      </w:r>
    </w:p>
    <w:p w:rsidR="00E251F7" w:rsidRPr="00E85BC1" w:rsidRDefault="00E251F7" w:rsidP="00E251F7">
      <w:pPr>
        <w:autoSpaceDE w:val="0"/>
        <w:autoSpaceDN w:val="0"/>
        <w:adjustRightInd w:val="0"/>
        <w:spacing w:after="0" w:line="240" w:lineRule="auto"/>
        <w:jc w:val="both"/>
        <w:rPr>
          <w:rFonts w:cs="Arial"/>
          <w:sz w:val="24"/>
          <w:szCs w:val="24"/>
        </w:rPr>
      </w:pPr>
    </w:p>
    <w:p w:rsidR="00E251F7" w:rsidRPr="00E85BC1" w:rsidRDefault="00E251F7" w:rsidP="00E251F7">
      <w:pPr>
        <w:pStyle w:val="ListParagraph"/>
        <w:numPr>
          <w:ilvl w:val="0"/>
          <w:numId w:val="3"/>
        </w:numPr>
        <w:autoSpaceDE w:val="0"/>
        <w:autoSpaceDN w:val="0"/>
        <w:adjustRightInd w:val="0"/>
        <w:spacing w:after="0" w:line="240" w:lineRule="auto"/>
        <w:jc w:val="both"/>
        <w:rPr>
          <w:rFonts w:cs="Arial"/>
          <w:sz w:val="24"/>
          <w:szCs w:val="24"/>
        </w:rPr>
      </w:pPr>
      <w:r w:rsidRPr="00E85BC1">
        <w:rPr>
          <w:rFonts w:cs="Arial"/>
          <w:sz w:val="24"/>
          <w:szCs w:val="24"/>
        </w:rPr>
        <w:t xml:space="preserve">Show the ability to take decisions and act ethically and professionally in the Public Service and its related environs, and the ability to justify decision-making and behaviour drawing on appropriate ethical values, transparency, accountability, the rule of law and other components of good governance. </w:t>
      </w:r>
    </w:p>
    <w:p w:rsidR="00E251F7" w:rsidRPr="00E85BC1" w:rsidRDefault="00E251F7" w:rsidP="00E251F7">
      <w:pPr>
        <w:autoSpaceDE w:val="0"/>
        <w:autoSpaceDN w:val="0"/>
        <w:adjustRightInd w:val="0"/>
        <w:spacing w:after="0" w:line="240" w:lineRule="auto"/>
        <w:jc w:val="both"/>
        <w:rPr>
          <w:rFonts w:cs="Arial"/>
          <w:sz w:val="24"/>
          <w:szCs w:val="24"/>
        </w:rPr>
      </w:pPr>
    </w:p>
    <w:p w:rsidR="00E251F7" w:rsidRPr="00E85BC1" w:rsidRDefault="00E251F7" w:rsidP="00E251F7">
      <w:pPr>
        <w:pStyle w:val="ListParagraph"/>
        <w:numPr>
          <w:ilvl w:val="0"/>
          <w:numId w:val="3"/>
        </w:numPr>
        <w:autoSpaceDE w:val="0"/>
        <w:autoSpaceDN w:val="0"/>
        <w:adjustRightInd w:val="0"/>
        <w:spacing w:after="0" w:line="240" w:lineRule="auto"/>
        <w:jc w:val="both"/>
        <w:rPr>
          <w:rFonts w:cs="Arial"/>
          <w:sz w:val="24"/>
          <w:szCs w:val="24"/>
        </w:rPr>
      </w:pPr>
      <w:r w:rsidRPr="00E85BC1">
        <w:rPr>
          <w:rFonts w:cs="Arial"/>
          <w:sz w:val="24"/>
          <w:szCs w:val="24"/>
        </w:rPr>
        <w:t>Exhibit the ability to access, process, manage and apply information for use in public governance domains and the ability to independently question, interrogate and validate sources of information with an aim to manage information in a way that promotes equity and transformation in South Africa, the southern African region, the African continent and beyond.</w:t>
      </w:r>
    </w:p>
    <w:p w:rsidR="00E251F7" w:rsidRPr="00E85BC1" w:rsidRDefault="00E251F7" w:rsidP="00E251F7">
      <w:pPr>
        <w:autoSpaceDE w:val="0"/>
        <w:autoSpaceDN w:val="0"/>
        <w:adjustRightInd w:val="0"/>
        <w:spacing w:after="0" w:line="240" w:lineRule="auto"/>
        <w:jc w:val="both"/>
        <w:rPr>
          <w:rFonts w:cs="Arial"/>
          <w:sz w:val="24"/>
          <w:szCs w:val="24"/>
        </w:rPr>
      </w:pPr>
    </w:p>
    <w:p w:rsidR="00E251F7" w:rsidRPr="00E85BC1" w:rsidRDefault="00E251F7" w:rsidP="00E251F7">
      <w:pPr>
        <w:pStyle w:val="ListParagraph"/>
        <w:numPr>
          <w:ilvl w:val="0"/>
          <w:numId w:val="3"/>
        </w:numPr>
        <w:autoSpaceDE w:val="0"/>
        <w:autoSpaceDN w:val="0"/>
        <w:adjustRightInd w:val="0"/>
        <w:spacing w:after="0" w:line="240" w:lineRule="auto"/>
        <w:jc w:val="both"/>
        <w:rPr>
          <w:rFonts w:cs="Arial"/>
          <w:sz w:val="24"/>
          <w:szCs w:val="24"/>
        </w:rPr>
      </w:pPr>
      <w:r w:rsidRPr="00E85BC1">
        <w:rPr>
          <w:rFonts w:cs="Arial"/>
          <w:sz w:val="24"/>
          <w:szCs w:val="24"/>
        </w:rPr>
        <w:t>Display the capacity to grow, develop, and communicate his or her ideas and opinions regarding public governance across geographical scales and spheres of government in well-formed arguments, justified by appropriate academic, professional, and occupational discourse while being open to ideas and opinions of others will a sense of collegiality and willingness to change and support the process of positive change with others.</w:t>
      </w:r>
    </w:p>
    <w:p w:rsidR="00E251F7" w:rsidRPr="00E85BC1" w:rsidRDefault="00E251F7" w:rsidP="00E251F7">
      <w:pPr>
        <w:autoSpaceDE w:val="0"/>
        <w:autoSpaceDN w:val="0"/>
        <w:adjustRightInd w:val="0"/>
        <w:spacing w:after="0" w:line="240" w:lineRule="auto"/>
        <w:jc w:val="both"/>
        <w:rPr>
          <w:rFonts w:cs="Arial"/>
          <w:sz w:val="24"/>
          <w:szCs w:val="24"/>
        </w:rPr>
      </w:pPr>
    </w:p>
    <w:p w:rsidR="00E251F7" w:rsidRPr="00E85BC1" w:rsidRDefault="00E251F7" w:rsidP="00E251F7">
      <w:pPr>
        <w:pStyle w:val="ListParagraph"/>
        <w:numPr>
          <w:ilvl w:val="0"/>
          <w:numId w:val="3"/>
        </w:numPr>
        <w:autoSpaceDE w:val="0"/>
        <w:autoSpaceDN w:val="0"/>
        <w:adjustRightInd w:val="0"/>
        <w:spacing w:after="0" w:line="240" w:lineRule="auto"/>
        <w:jc w:val="both"/>
        <w:rPr>
          <w:rFonts w:cs="Arial"/>
          <w:sz w:val="24"/>
          <w:szCs w:val="24"/>
        </w:rPr>
      </w:pPr>
      <w:r w:rsidRPr="00E85BC1">
        <w:rPr>
          <w:rFonts w:cs="Arial"/>
          <w:sz w:val="24"/>
          <w:szCs w:val="24"/>
        </w:rPr>
        <w:t>Demonstrate the ability to manage governance and government processes in unfamiliar and variable contexts including intergovernmental relations, public fiscal responsibility and accountability, human capital development, public service delivery, infrastructure project development and community development, recognising that problem solving is context and system bound, and does not occur in isolation.</w:t>
      </w:r>
    </w:p>
    <w:p w:rsidR="00E251F7" w:rsidRPr="00E85BC1" w:rsidRDefault="00E251F7" w:rsidP="00E251F7">
      <w:pPr>
        <w:autoSpaceDE w:val="0"/>
        <w:autoSpaceDN w:val="0"/>
        <w:adjustRightInd w:val="0"/>
        <w:spacing w:after="0" w:line="240" w:lineRule="auto"/>
        <w:jc w:val="both"/>
        <w:rPr>
          <w:rFonts w:cs="Arial"/>
          <w:sz w:val="24"/>
          <w:szCs w:val="24"/>
        </w:rPr>
      </w:pPr>
    </w:p>
    <w:p w:rsidR="00E251F7" w:rsidRPr="00E85BC1" w:rsidRDefault="00E251F7" w:rsidP="00E251F7">
      <w:pPr>
        <w:pStyle w:val="ListParagraph"/>
        <w:numPr>
          <w:ilvl w:val="0"/>
          <w:numId w:val="3"/>
        </w:numPr>
        <w:autoSpaceDE w:val="0"/>
        <w:autoSpaceDN w:val="0"/>
        <w:adjustRightInd w:val="0"/>
        <w:spacing w:after="0" w:line="240" w:lineRule="auto"/>
        <w:jc w:val="both"/>
        <w:rPr>
          <w:rFonts w:cs="Arial"/>
          <w:sz w:val="24"/>
          <w:szCs w:val="24"/>
        </w:rPr>
      </w:pPr>
      <w:r w:rsidRPr="00E85BC1">
        <w:rPr>
          <w:rFonts w:cs="Arial"/>
          <w:sz w:val="24"/>
          <w:szCs w:val="24"/>
        </w:rPr>
        <w:t>Display the capacity to identify, evaluate and address his or her learning objectives and needs regarding public governance education, training and value-setting in a self-directed manner, to facilitate collaborative learning processes and to integrate theory and practice as a source of learning.</w:t>
      </w:r>
    </w:p>
    <w:p w:rsidR="00E251F7" w:rsidRPr="00E85BC1" w:rsidRDefault="00E251F7" w:rsidP="00E251F7">
      <w:pPr>
        <w:autoSpaceDE w:val="0"/>
        <w:autoSpaceDN w:val="0"/>
        <w:adjustRightInd w:val="0"/>
        <w:spacing w:after="0" w:line="240" w:lineRule="auto"/>
        <w:jc w:val="both"/>
        <w:rPr>
          <w:rFonts w:cs="Arial"/>
          <w:sz w:val="24"/>
          <w:szCs w:val="24"/>
        </w:rPr>
      </w:pPr>
    </w:p>
    <w:p w:rsidR="00E251F7" w:rsidRPr="00E85BC1" w:rsidRDefault="00E251F7" w:rsidP="00E251F7">
      <w:pPr>
        <w:pStyle w:val="ListParagraph"/>
        <w:numPr>
          <w:ilvl w:val="0"/>
          <w:numId w:val="3"/>
        </w:numPr>
        <w:autoSpaceDE w:val="0"/>
        <w:autoSpaceDN w:val="0"/>
        <w:adjustRightInd w:val="0"/>
        <w:spacing w:after="0" w:line="240" w:lineRule="auto"/>
        <w:jc w:val="both"/>
        <w:rPr>
          <w:rFonts w:cs="Arial"/>
          <w:sz w:val="24"/>
          <w:szCs w:val="24"/>
        </w:rPr>
      </w:pPr>
      <w:r w:rsidRPr="00E85BC1">
        <w:rPr>
          <w:rFonts w:cs="Arial"/>
          <w:sz w:val="24"/>
          <w:szCs w:val="24"/>
        </w:rPr>
        <w:t>Exhibit the capability to take full responsibility for her or his work and decision-making during public governance study in a way that builds character and demonstrates efficient and effective use of resources while accepting limited accountability for decisions and actions of others in different and uncertain contexts.</w:t>
      </w:r>
    </w:p>
    <w:p w:rsidR="00E251F7" w:rsidRPr="007D4399" w:rsidRDefault="00E251F7" w:rsidP="00E251F7">
      <w:pPr>
        <w:autoSpaceDE w:val="0"/>
        <w:autoSpaceDN w:val="0"/>
        <w:adjustRightInd w:val="0"/>
        <w:spacing w:after="0" w:line="240" w:lineRule="auto"/>
        <w:jc w:val="both"/>
        <w:rPr>
          <w:rFonts w:ascii="Arial" w:hAnsi="Arial" w:cs="Arial"/>
          <w:sz w:val="24"/>
          <w:szCs w:val="24"/>
        </w:rPr>
      </w:pPr>
    </w:p>
    <w:p w:rsidR="00096DB9" w:rsidRPr="00E85BC1" w:rsidRDefault="00E251F7" w:rsidP="00893E24">
      <w:pPr>
        <w:spacing w:line="240" w:lineRule="auto"/>
        <w:rPr>
          <w:rFonts w:eastAsia="Times New Roman" w:cs="Arial"/>
          <w:b/>
          <w:sz w:val="24"/>
          <w:szCs w:val="24"/>
          <w:u w:val="single"/>
          <w:lang w:eastAsia="en-GB"/>
        </w:rPr>
      </w:pPr>
      <w:r w:rsidRPr="00E85BC1">
        <w:rPr>
          <w:rFonts w:eastAsia="Times New Roman" w:cs="Arial"/>
          <w:sz w:val="24"/>
          <w:szCs w:val="24"/>
          <w:lang w:eastAsia="en-GB"/>
        </w:rPr>
        <w:lastRenderedPageBreak/>
        <w:t xml:space="preserve">Table 4 shows the types of assessments used across the </w:t>
      </w:r>
      <w:proofErr w:type="spellStart"/>
      <w:r w:rsidRPr="00E85BC1">
        <w:rPr>
          <w:rFonts w:eastAsia="Times New Roman" w:cs="Arial"/>
          <w:sz w:val="24"/>
          <w:szCs w:val="24"/>
          <w:lang w:eastAsia="en-GB"/>
        </w:rPr>
        <w:t>BAd</w:t>
      </w:r>
      <w:r w:rsidR="00D859FC" w:rsidRPr="00E85BC1">
        <w:rPr>
          <w:rFonts w:eastAsia="Times New Roman" w:cs="Arial"/>
          <w:sz w:val="24"/>
          <w:szCs w:val="24"/>
          <w:lang w:eastAsia="en-GB"/>
        </w:rPr>
        <w:t>min</w:t>
      </w:r>
      <w:proofErr w:type="spellEnd"/>
      <w:r w:rsidR="00D859FC" w:rsidRPr="00E85BC1">
        <w:rPr>
          <w:rFonts w:eastAsia="Times New Roman" w:cs="Arial"/>
          <w:sz w:val="24"/>
          <w:szCs w:val="24"/>
          <w:lang w:eastAsia="en-GB"/>
        </w:rPr>
        <w:t xml:space="preserve"> programme curriculum. For first year modules, the same assessments are generally used.  In second and third year modules, different modules use a variety of assessments but not all of the assessments provided in the second column.  Rather</w:t>
      </w:r>
      <w:r w:rsidR="00337048" w:rsidRPr="00E85BC1">
        <w:rPr>
          <w:rFonts w:eastAsia="Times New Roman" w:cs="Arial"/>
          <w:sz w:val="24"/>
          <w:szCs w:val="24"/>
          <w:lang w:eastAsia="en-GB"/>
        </w:rPr>
        <w:t>,</w:t>
      </w:r>
      <w:r w:rsidR="00D859FC" w:rsidRPr="00E85BC1">
        <w:rPr>
          <w:rFonts w:eastAsia="Times New Roman" w:cs="Arial"/>
          <w:sz w:val="24"/>
          <w:szCs w:val="24"/>
          <w:lang w:eastAsia="en-GB"/>
        </w:rPr>
        <w:t xml:space="preserve"> assessment strategy is aligned with the relevant knowledge content, teaching philosophy, pedagogical approaches, learning outcomes per module and overall programme exit outcomes.</w:t>
      </w:r>
    </w:p>
    <w:p w:rsidR="00096DB9" w:rsidRDefault="00096DB9" w:rsidP="00893E24">
      <w:pPr>
        <w:spacing w:line="240" w:lineRule="auto"/>
        <w:rPr>
          <w:rFonts w:ascii="Calibri" w:eastAsia="Times New Roman" w:hAnsi="Calibri" w:cs="Times New Roman"/>
          <w:b/>
          <w:sz w:val="28"/>
          <w:szCs w:val="28"/>
          <w:u w:val="single"/>
          <w:lang w:eastAsia="en-GB"/>
        </w:rPr>
      </w:pPr>
    </w:p>
    <w:tbl>
      <w:tblPr>
        <w:tblStyle w:val="TableGrid"/>
        <w:tblW w:w="0" w:type="auto"/>
        <w:tblLook w:val="04A0" w:firstRow="1" w:lastRow="0" w:firstColumn="1" w:lastColumn="0" w:noHBand="0" w:noVBand="1"/>
      </w:tblPr>
      <w:tblGrid>
        <w:gridCol w:w="1973"/>
        <w:gridCol w:w="2892"/>
        <w:gridCol w:w="4151"/>
      </w:tblGrid>
      <w:tr w:rsidR="00192812" w:rsidTr="00A9329E">
        <w:tc>
          <w:tcPr>
            <w:tcW w:w="9242" w:type="dxa"/>
            <w:gridSpan w:val="3"/>
          </w:tcPr>
          <w:p w:rsidR="00192812" w:rsidRPr="00E85BC1" w:rsidRDefault="00192812" w:rsidP="00192812">
            <w:pPr>
              <w:jc w:val="center"/>
              <w:rPr>
                <w:rFonts w:asciiTheme="minorHAnsi" w:eastAsia="Times New Roman" w:hAnsiTheme="minorHAnsi"/>
                <w:sz w:val="20"/>
                <w:szCs w:val="20"/>
              </w:rPr>
            </w:pPr>
            <w:r w:rsidRPr="00E85BC1">
              <w:rPr>
                <w:rFonts w:asciiTheme="minorHAnsi" w:eastAsia="Times New Roman" w:hAnsiTheme="minorHAnsi"/>
                <w:sz w:val="20"/>
                <w:szCs w:val="20"/>
              </w:rPr>
              <w:t>Table 4</w:t>
            </w:r>
          </w:p>
          <w:p w:rsidR="00192812" w:rsidRPr="00E85BC1" w:rsidRDefault="00192812" w:rsidP="00192812">
            <w:pPr>
              <w:jc w:val="center"/>
              <w:rPr>
                <w:rFonts w:asciiTheme="minorHAnsi" w:eastAsia="Times New Roman" w:hAnsiTheme="minorHAnsi"/>
                <w:b/>
                <w:sz w:val="20"/>
                <w:szCs w:val="20"/>
              </w:rPr>
            </w:pPr>
            <w:r w:rsidRPr="00E85BC1">
              <w:rPr>
                <w:rFonts w:asciiTheme="minorHAnsi" w:eastAsia="Times New Roman" w:hAnsiTheme="minorHAnsi"/>
                <w:sz w:val="20"/>
                <w:szCs w:val="20"/>
              </w:rPr>
              <w:t>Assessment Strategy Aligned with Continuity and Progression of Knowledge</w:t>
            </w:r>
          </w:p>
        </w:tc>
      </w:tr>
      <w:tr w:rsidR="00AD257D" w:rsidTr="004F6D1F">
        <w:tc>
          <w:tcPr>
            <w:tcW w:w="1998" w:type="dxa"/>
          </w:tcPr>
          <w:p w:rsidR="00AD257D" w:rsidRPr="00E85BC1" w:rsidRDefault="00AD257D" w:rsidP="004F6D1F">
            <w:pPr>
              <w:jc w:val="center"/>
              <w:rPr>
                <w:rFonts w:asciiTheme="minorHAnsi" w:eastAsia="Times New Roman" w:hAnsiTheme="minorHAnsi"/>
                <w:b/>
                <w:sz w:val="20"/>
                <w:szCs w:val="20"/>
              </w:rPr>
            </w:pPr>
            <w:r w:rsidRPr="00E85BC1">
              <w:rPr>
                <w:rFonts w:asciiTheme="minorHAnsi" w:eastAsia="Times New Roman" w:hAnsiTheme="minorHAnsi"/>
                <w:b/>
                <w:sz w:val="20"/>
                <w:szCs w:val="20"/>
              </w:rPr>
              <w:t>Undergraduate level</w:t>
            </w:r>
          </w:p>
        </w:tc>
        <w:tc>
          <w:tcPr>
            <w:tcW w:w="2970" w:type="dxa"/>
          </w:tcPr>
          <w:p w:rsidR="00AD257D" w:rsidRPr="00E85BC1" w:rsidRDefault="00BB09DE" w:rsidP="003466BB">
            <w:pPr>
              <w:jc w:val="center"/>
              <w:rPr>
                <w:rFonts w:asciiTheme="minorHAnsi" w:eastAsia="Times New Roman" w:hAnsiTheme="minorHAnsi"/>
                <w:b/>
                <w:sz w:val="20"/>
                <w:szCs w:val="20"/>
              </w:rPr>
            </w:pPr>
            <w:r w:rsidRPr="00E85BC1">
              <w:rPr>
                <w:rFonts w:asciiTheme="minorHAnsi" w:eastAsia="Times New Roman" w:hAnsiTheme="minorHAnsi"/>
                <w:b/>
                <w:sz w:val="20"/>
                <w:szCs w:val="20"/>
              </w:rPr>
              <w:t>I</w:t>
            </w:r>
            <w:r w:rsidR="00BE6D07" w:rsidRPr="00E85BC1">
              <w:rPr>
                <w:rFonts w:asciiTheme="minorHAnsi" w:eastAsia="Times New Roman" w:hAnsiTheme="minorHAnsi"/>
                <w:b/>
                <w:sz w:val="20"/>
                <w:szCs w:val="20"/>
              </w:rPr>
              <w:t xml:space="preserve">ncreasingly demanding </w:t>
            </w:r>
            <w:r w:rsidR="00B474FD" w:rsidRPr="00E85BC1">
              <w:rPr>
                <w:rFonts w:asciiTheme="minorHAnsi" w:eastAsia="Times New Roman" w:hAnsiTheme="minorHAnsi"/>
                <w:b/>
                <w:sz w:val="20"/>
                <w:szCs w:val="20"/>
              </w:rPr>
              <w:t>a</w:t>
            </w:r>
            <w:r w:rsidR="00AD257D" w:rsidRPr="00E85BC1">
              <w:rPr>
                <w:rFonts w:asciiTheme="minorHAnsi" w:eastAsia="Times New Roman" w:hAnsiTheme="minorHAnsi"/>
                <w:b/>
                <w:sz w:val="20"/>
                <w:szCs w:val="20"/>
              </w:rPr>
              <w:t>ssessment strateg</w:t>
            </w:r>
            <w:r w:rsidR="003466BB" w:rsidRPr="00E85BC1">
              <w:rPr>
                <w:rFonts w:asciiTheme="minorHAnsi" w:eastAsia="Times New Roman" w:hAnsiTheme="minorHAnsi"/>
                <w:b/>
                <w:sz w:val="20"/>
                <w:szCs w:val="20"/>
              </w:rPr>
              <w:t>y</w:t>
            </w:r>
          </w:p>
        </w:tc>
        <w:tc>
          <w:tcPr>
            <w:tcW w:w="4274" w:type="dxa"/>
          </w:tcPr>
          <w:p w:rsidR="00AD257D" w:rsidRPr="00E85BC1" w:rsidRDefault="00AD257D" w:rsidP="004F6D1F">
            <w:pPr>
              <w:jc w:val="center"/>
              <w:rPr>
                <w:rFonts w:asciiTheme="minorHAnsi" w:eastAsia="Times New Roman" w:hAnsiTheme="minorHAnsi"/>
                <w:b/>
                <w:sz w:val="20"/>
                <w:szCs w:val="20"/>
              </w:rPr>
            </w:pPr>
            <w:r w:rsidRPr="00E85BC1">
              <w:rPr>
                <w:rFonts w:asciiTheme="minorHAnsi" w:eastAsia="Times New Roman" w:hAnsiTheme="minorHAnsi"/>
                <w:b/>
                <w:sz w:val="20"/>
                <w:szCs w:val="20"/>
              </w:rPr>
              <w:t xml:space="preserve">Rationale underlying </w:t>
            </w:r>
            <w:r w:rsidR="00A81A36" w:rsidRPr="00E85BC1">
              <w:rPr>
                <w:rFonts w:asciiTheme="minorHAnsi" w:eastAsia="Times New Roman" w:hAnsiTheme="minorHAnsi"/>
                <w:b/>
                <w:sz w:val="20"/>
                <w:szCs w:val="20"/>
              </w:rPr>
              <w:t>assessment strategy</w:t>
            </w:r>
          </w:p>
        </w:tc>
      </w:tr>
      <w:tr w:rsidR="00AD257D" w:rsidTr="004F6D1F">
        <w:tc>
          <w:tcPr>
            <w:tcW w:w="1998" w:type="dxa"/>
          </w:tcPr>
          <w:p w:rsidR="00AD257D" w:rsidRPr="00E85BC1" w:rsidRDefault="00AD257D" w:rsidP="00893E24">
            <w:pPr>
              <w:rPr>
                <w:rFonts w:asciiTheme="minorHAnsi" w:eastAsia="Times New Roman" w:hAnsiTheme="minorHAnsi"/>
                <w:sz w:val="20"/>
                <w:szCs w:val="20"/>
              </w:rPr>
            </w:pPr>
            <w:r w:rsidRPr="00E85BC1">
              <w:rPr>
                <w:rFonts w:asciiTheme="minorHAnsi" w:eastAsia="Times New Roman" w:hAnsiTheme="minorHAnsi"/>
                <w:sz w:val="20"/>
                <w:szCs w:val="20"/>
              </w:rPr>
              <w:t>First year</w:t>
            </w:r>
            <w:r w:rsidR="003466BB" w:rsidRPr="00E85BC1">
              <w:rPr>
                <w:rFonts w:asciiTheme="minorHAnsi" w:eastAsia="Times New Roman" w:hAnsiTheme="minorHAnsi"/>
                <w:sz w:val="20"/>
                <w:szCs w:val="20"/>
              </w:rPr>
              <w:t xml:space="preserve"> overview of assessments across two modules</w:t>
            </w:r>
          </w:p>
        </w:tc>
        <w:tc>
          <w:tcPr>
            <w:tcW w:w="2970" w:type="dxa"/>
          </w:tcPr>
          <w:p w:rsidR="003466BB" w:rsidRPr="00E85BC1" w:rsidRDefault="00CF1B4E" w:rsidP="00CF1B4E">
            <w:pPr>
              <w:rPr>
                <w:rFonts w:asciiTheme="minorHAnsi" w:eastAsia="Times New Roman" w:hAnsiTheme="minorHAnsi"/>
                <w:sz w:val="20"/>
                <w:szCs w:val="20"/>
              </w:rPr>
            </w:pPr>
            <w:r w:rsidRPr="00E85BC1">
              <w:rPr>
                <w:rFonts w:asciiTheme="minorHAnsi" w:eastAsia="Times New Roman" w:hAnsiTheme="minorHAnsi"/>
                <w:sz w:val="20"/>
                <w:szCs w:val="20"/>
              </w:rPr>
              <w:t>Writt</w:t>
            </w:r>
            <w:r w:rsidR="003466BB" w:rsidRPr="00E85BC1">
              <w:rPr>
                <w:rFonts w:asciiTheme="minorHAnsi" w:eastAsia="Times New Roman" w:hAnsiTheme="minorHAnsi"/>
                <w:sz w:val="20"/>
                <w:szCs w:val="20"/>
              </w:rPr>
              <w:t>en assignments during tutorials</w:t>
            </w:r>
            <w:r w:rsidRPr="00E85BC1">
              <w:rPr>
                <w:rFonts w:asciiTheme="minorHAnsi" w:eastAsia="Times New Roman" w:hAnsiTheme="minorHAnsi"/>
                <w:sz w:val="20"/>
                <w:szCs w:val="20"/>
              </w:rPr>
              <w:t xml:space="preserve"> </w:t>
            </w:r>
          </w:p>
          <w:p w:rsidR="003466BB" w:rsidRPr="00E85BC1" w:rsidRDefault="003466BB" w:rsidP="00CF1B4E">
            <w:pPr>
              <w:rPr>
                <w:rFonts w:asciiTheme="minorHAnsi" w:eastAsia="Times New Roman" w:hAnsiTheme="minorHAnsi"/>
                <w:sz w:val="20"/>
                <w:szCs w:val="20"/>
              </w:rPr>
            </w:pPr>
            <w:r w:rsidRPr="00E85BC1">
              <w:rPr>
                <w:rFonts w:asciiTheme="minorHAnsi" w:eastAsia="Times New Roman" w:hAnsiTheme="minorHAnsi"/>
                <w:sz w:val="20"/>
                <w:szCs w:val="20"/>
              </w:rPr>
              <w:t>T</w:t>
            </w:r>
            <w:r w:rsidR="00CF1B4E" w:rsidRPr="00E85BC1">
              <w:rPr>
                <w:rFonts w:asciiTheme="minorHAnsi" w:eastAsia="Times New Roman" w:hAnsiTheme="minorHAnsi"/>
                <w:sz w:val="20"/>
                <w:szCs w:val="20"/>
              </w:rPr>
              <w:t>est</w:t>
            </w:r>
            <w:r w:rsidR="00B474FD" w:rsidRPr="00E85BC1">
              <w:rPr>
                <w:rFonts w:asciiTheme="minorHAnsi" w:eastAsia="Times New Roman" w:hAnsiTheme="minorHAnsi"/>
                <w:sz w:val="20"/>
                <w:szCs w:val="20"/>
              </w:rPr>
              <w:t>s</w:t>
            </w:r>
          </w:p>
          <w:p w:rsidR="00AD257D" w:rsidRPr="00E85BC1" w:rsidRDefault="003466BB" w:rsidP="00CF1B4E">
            <w:pPr>
              <w:rPr>
                <w:rFonts w:asciiTheme="minorHAnsi" w:eastAsia="Times New Roman" w:hAnsiTheme="minorHAnsi"/>
                <w:sz w:val="20"/>
                <w:szCs w:val="20"/>
              </w:rPr>
            </w:pPr>
            <w:r w:rsidRPr="00E85BC1">
              <w:rPr>
                <w:rFonts w:asciiTheme="minorHAnsi" w:eastAsia="Times New Roman" w:hAnsiTheme="minorHAnsi"/>
                <w:sz w:val="20"/>
                <w:szCs w:val="20"/>
              </w:rPr>
              <w:t>F</w:t>
            </w:r>
            <w:r w:rsidR="00CF1B4E" w:rsidRPr="00E85BC1">
              <w:rPr>
                <w:rFonts w:asciiTheme="minorHAnsi" w:eastAsia="Times New Roman" w:hAnsiTheme="minorHAnsi"/>
                <w:sz w:val="20"/>
                <w:szCs w:val="20"/>
              </w:rPr>
              <w:t>inal examination</w:t>
            </w:r>
            <w:r w:rsidR="00BE6D07" w:rsidRPr="00E85BC1">
              <w:rPr>
                <w:rFonts w:asciiTheme="minorHAnsi" w:eastAsia="Times New Roman" w:hAnsiTheme="minorHAnsi"/>
                <w:sz w:val="20"/>
                <w:szCs w:val="20"/>
              </w:rPr>
              <w:t>s</w:t>
            </w:r>
          </w:p>
        </w:tc>
        <w:tc>
          <w:tcPr>
            <w:tcW w:w="4274" w:type="dxa"/>
          </w:tcPr>
          <w:p w:rsidR="00AD257D" w:rsidRPr="00E85BC1" w:rsidRDefault="00BE6D07" w:rsidP="00893E24">
            <w:pPr>
              <w:rPr>
                <w:rFonts w:asciiTheme="minorHAnsi" w:eastAsia="Times New Roman" w:hAnsiTheme="minorHAnsi"/>
                <w:sz w:val="20"/>
                <w:szCs w:val="20"/>
              </w:rPr>
            </w:pPr>
            <w:r w:rsidRPr="00E85BC1">
              <w:rPr>
                <w:rFonts w:asciiTheme="minorHAnsi" w:eastAsia="Times New Roman" w:hAnsiTheme="minorHAnsi"/>
                <w:sz w:val="20"/>
                <w:szCs w:val="20"/>
              </w:rPr>
              <w:t xml:space="preserve">Learning requirements and expectations and civic </w:t>
            </w:r>
            <w:r w:rsidR="00356F3B" w:rsidRPr="00E85BC1">
              <w:rPr>
                <w:rFonts w:asciiTheme="minorHAnsi" w:eastAsia="Times New Roman" w:hAnsiTheme="minorHAnsi"/>
                <w:sz w:val="20"/>
                <w:szCs w:val="20"/>
              </w:rPr>
              <w:t xml:space="preserve">duties and </w:t>
            </w:r>
            <w:r w:rsidRPr="00E85BC1">
              <w:rPr>
                <w:rFonts w:asciiTheme="minorHAnsi" w:eastAsia="Times New Roman" w:hAnsiTheme="minorHAnsi"/>
                <w:sz w:val="20"/>
                <w:szCs w:val="20"/>
              </w:rPr>
              <w:t>responsibilities in participatory democracy</w:t>
            </w:r>
            <w:r w:rsidR="001E3732" w:rsidRPr="00E85BC1">
              <w:rPr>
                <w:rFonts w:asciiTheme="minorHAnsi" w:eastAsia="Times New Roman" w:hAnsiTheme="minorHAnsi"/>
                <w:sz w:val="20"/>
                <w:szCs w:val="20"/>
              </w:rPr>
              <w:t xml:space="preserve"> are worth teaching</w:t>
            </w:r>
          </w:p>
          <w:p w:rsidR="00921A03" w:rsidRPr="00E85BC1" w:rsidRDefault="00921A03" w:rsidP="00893E24">
            <w:pPr>
              <w:rPr>
                <w:rFonts w:asciiTheme="minorHAnsi" w:eastAsia="Times New Roman" w:hAnsiTheme="minorHAnsi"/>
                <w:sz w:val="20"/>
                <w:szCs w:val="20"/>
              </w:rPr>
            </w:pPr>
          </w:p>
          <w:p w:rsidR="00BE6D07" w:rsidRPr="00E85BC1" w:rsidRDefault="00BE6D07" w:rsidP="00893E24">
            <w:pPr>
              <w:rPr>
                <w:rFonts w:asciiTheme="minorHAnsi" w:eastAsia="Times New Roman" w:hAnsiTheme="minorHAnsi"/>
                <w:sz w:val="20"/>
                <w:szCs w:val="20"/>
              </w:rPr>
            </w:pPr>
            <w:r w:rsidRPr="00E85BC1">
              <w:rPr>
                <w:rFonts w:asciiTheme="minorHAnsi" w:eastAsia="Times New Roman" w:hAnsiTheme="minorHAnsi"/>
                <w:sz w:val="20"/>
                <w:szCs w:val="20"/>
              </w:rPr>
              <w:t xml:space="preserve">Developing academic literacy </w:t>
            </w:r>
            <w:r w:rsidR="004F6D1F" w:rsidRPr="00E85BC1">
              <w:rPr>
                <w:rFonts w:asciiTheme="minorHAnsi" w:eastAsia="Times New Roman" w:hAnsiTheme="minorHAnsi"/>
                <w:sz w:val="20"/>
                <w:szCs w:val="20"/>
              </w:rPr>
              <w:t xml:space="preserve">and critical thinking skills </w:t>
            </w:r>
            <w:r w:rsidRPr="00E85BC1">
              <w:rPr>
                <w:rFonts w:asciiTheme="minorHAnsi" w:eastAsia="Times New Roman" w:hAnsiTheme="minorHAnsi"/>
                <w:sz w:val="20"/>
                <w:szCs w:val="20"/>
              </w:rPr>
              <w:t>with the help of supplementary instruction where resources permit</w:t>
            </w:r>
            <w:r w:rsidR="001E3732" w:rsidRPr="00E85BC1">
              <w:rPr>
                <w:rFonts w:asciiTheme="minorHAnsi" w:eastAsia="Times New Roman" w:hAnsiTheme="minorHAnsi"/>
                <w:sz w:val="20"/>
                <w:szCs w:val="20"/>
              </w:rPr>
              <w:t>, empowers students</w:t>
            </w:r>
          </w:p>
          <w:p w:rsidR="00921A03" w:rsidRPr="00E85BC1" w:rsidRDefault="00921A03" w:rsidP="00893E24">
            <w:pPr>
              <w:rPr>
                <w:rFonts w:asciiTheme="minorHAnsi" w:eastAsia="Times New Roman" w:hAnsiTheme="minorHAnsi"/>
                <w:sz w:val="20"/>
                <w:szCs w:val="20"/>
              </w:rPr>
            </w:pPr>
          </w:p>
          <w:p w:rsidR="00BE6D07" w:rsidRPr="00E85BC1" w:rsidRDefault="001E3732" w:rsidP="001E3732">
            <w:pPr>
              <w:rPr>
                <w:rFonts w:asciiTheme="minorHAnsi" w:eastAsia="Times New Roman" w:hAnsiTheme="minorHAnsi"/>
                <w:sz w:val="20"/>
                <w:szCs w:val="20"/>
              </w:rPr>
            </w:pPr>
            <w:r w:rsidRPr="00E85BC1">
              <w:rPr>
                <w:rFonts w:asciiTheme="minorHAnsi" w:eastAsia="Times New Roman" w:hAnsiTheme="minorHAnsi"/>
                <w:sz w:val="20"/>
                <w:szCs w:val="20"/>
              </w:rPr>
              <w:t>Accessing, d</w:t>
            </w:r>
            <w:r w:rsidR="00BE6D07" w:rsidRPr="00E85BC1">
              <w:rPr>
                <w:rFonts w:asciiTheme="minorHAnsi" w:eastAsia="Times New Roman" w:hAnsiTheme="minorHAnsi"/>
                <w:sz w:val="20"/>
                <w:szCs w:val="20"/>
              </w:rPr>
              <w:t xml:space="preserve">igesting and conveying knowledge </w:t>
            </w:r>
            <w:r w:rsidRPr="00E85BC1">
              <w:rPr>
                <w:rFonts w:asciiTheme="minorHAnsi" w:eastAsia="Times New Roman" w:hAnsiTheme="minorHAnsi"/>
                <w:sz w:val="20"/>
                <w:szCs w:val="20"/>
              </w:rPr>
              <w:t xml:space="preserve">is </w:t>
            </w:r>
            <w:r w:rsidR="00BE6D07" w:rsidRPr="00E85BC1">
              <w:rPr>
                <w:rFonts w:asciiTheme="minorHAnsi" w:eastAsia="Times New Roman" w:hAnsiTheme="minorHAnsi"/>
                <w:sz w:val="20"/>
                <w:szCs w:val="20"/>
              </w:rPr>
              <w:t>useful in personal, academic and community development</w:t>
            </w:r>
            <w:r w:rsidR="00686A1D" w:rsidRPr="00E85BC1">
              <w:rPr>
                <w:rFonts w:asciiTheme="minorHAnsi" w:eastAsia="Times New Roman" w:hAnsiTheme="minorHAnsi"/>
                <w:sz w:val="20"/>
                <w:szCs w:val="20"/>
              </w:rPr>
              <w:t>.</w:t>
            </w:r>
          </w:p>
        </w:tc>
      </w:tr>
      <w:tr w:rsidR="00AD257D" w:rsidTr="004F6D1F">
        <w:tc>
          <w:tcPr>
            <w:tcW w:w="1998" w:type="dxa"/>
          </w:tcPr>
          <w:p w:rsidR="00AD257D" w:rsidRPr="00E85BC1" w:rsidRDefault="00AD257D" w:rsidP="00893E24">
            <w:pPr>
              <w:rPr>
                <w:rFonts w:asciiTheme="minorHAnsi" w:eastAsia="Times New Roman" w:hAnsiTheme="minorHAnsi"/>
                <w:sz w:val="20"/>
                <w:szCs w:val="20"/>
              </w:rPr>
            </w:pPr>
            <w:r w:rsidRPr="00E85BC1">
              <w:rPr>
                <w:rFonts w:asciiTheme="minorHAnsi" w:eastAsia="Times New Roman" w:hAnsiTheme="minorHAnsi"/>
                <w:sz w:val="20"/>
                <w:szCs w:val="20"/>
              </w:rPr>
              <w:t>Second year</w:t>
            </w:r>
            <w:r w:rsidR="003466BB" w:rsidRPr="00E85BC1">
              <w:rPr>
                <w:rFonts w:asciiTheme="minorHAnsi" w:eastAsia="Times New Roman" w:hAnsiTheme="minorHAnsi"/>
                <w:sz w:val="20"/>
                <w:szCs w:val="20"/>
              </w:rPr>
              <w:t xml:space="preserve"> overview of assessments across four modules</w:t>
            </w:r>
          </w:p>
        </w:tc>
        <w:tc>
          <w:tcPr>
            <w:tcW w:w="2970" w:type="dxa"/>
          </w:tcPr>
          <w:p w:rsidR="00B474FD" w:rsidRPr="00E85BC1" w:rsidRDefault="00B474FD" w:rsidP="00B474FD">
            <w:pPr>
              <w:rPr>
                <w:rFonts w:asciiTheme="minorHAnsi" w:eastAsia="Times New Roman" w:hAnsiTheme="minorHAnsi"/>
                <w:bCs/>
                <w:color w:val="000000"/>
                <w:sz w:val="20"/>
                <w:szCs w:val="20"/>
              </w:rPr>
            </w:pPr>
            <w:r w:rsidRPr="00E85BC1">
              <w:rPr>
                <w:rFonts w:asciiTheme="minorHAnsi" w:hAnsiTheme="minorHAnsi"/>
                <w:bCs/>
                <w:color w:val="000000"/>
                <w:sz w:val="20"/>
                <w:szCs w:val="20"/>
              </w:rPr>
              <w:t xml:space="preserve">Written </w:t>
            </w:r>
            <w:r w:rsidRPr="00E85BC1">
              <w:rPr>
                <w:rFonts w:asciiTheme="minorHAnsi" w:eastAsia="Times New Roman" w:hAnsiTheme="minorHAnsi"/>
                <w:bCs/>
                <w:color w:val="000000"/>
                <w:sz w:val="20"/>
                <w:szCs w:val="20"/>
              </w:rPr>
              <w:t>assignment</w:t>
            </w:r>
            <w:r w:rsidRPr="00E85BC1">
              <w:rPr>
                <w:rFonts w:asciiTheme="minorHAnsi" w:hAnsiTheme="minorHAnsi"/>
                <w:bCs/>
                <w:color w:val="000000"/>
                <w:sz w:val="20"/>
                <w:szCs w:val="20"/>
              </w:rPr>
              <w:t>s</w:t>
            </w:r>
          </w:p>
          <w:p w:rsidR="00B474FD" w:rsidRPr="00E85BC1" w:rsidRDefault="00B474FD" w:rsidP="00B474FD">
            <w:pPr>
              <w:rPr>
                <w:rFonts w:asciiTheme="minorHAnsi" w:eastAsia="Times New Roman" w:hAnsiTheme="minorHAnsi"/>
                <w:bCs/>
                <w:color w:val="000000"/>
                <w:sz w:val="20"/>
                <w:szCs w:val="20"/>
              </w:rPr>
            </w:pPr>
            <w:r w:rsidRPr="00E85BC1">
              <w:rPr>
                <w:rFonts w:asciiTheme="minorHAnsi" w:hAnsiTheme="minorHAnsi"/>
                <w:bCs/>
                <w:color w:val="000000"/>
                <w:sz w:val="20"/>
                <w:szCs w:val="20"/>
              </w:rPr>
              <w:t>A</w:t>
            </w:r>
            <w:r w:rsidRPr="00E85BC1">
              <w:rPr>
                <w:rFonts w:asciiTheme="minorHAnsi" w:eastAsia="Times New Roman" w:hAnsiTheme="minorHAnsi"/>
                <w:bCs/>
                <w:color w:val="000000"/>
                <w:sz w:val="20"/>
                <w:szCs w:val="20"/>
              </w:rPr>
              <w:t xml:space="preserve">ction learning group work </w:t>
            </w:r>
          </w:p>
          <w:p w:rsidR="00B474FD" w:rsidRPr="00E85BC1" w:rsidRDefault="00B474FD" w:rsidP="00B474FD">
            <w:pPr>
              <w:rPr>
                <w:rFonts w:asciiTheme="minorHAnsi" w:eastAsia="Times New Roman" w:hAnsiTheme="minorHAnsi"/>
                <w:bCs/>
                <w:color w:val="000000"/>
                <w:sz w:val="20"/>
                <w:szCs w:val="20"/>
              </w:rPr>
            </w:pPr>
            <w:r w:rsidRPr="00E85BC1">
              <w:rPr>
                <w:rFonts w:asciiTheme="minorHAnsi" w:eastAsia="Times New Roman" w:hAnsiTheme="minorHAnsi"/>
                <w:bCs/>
                <w:color w:val="000000"/>
                <w:sz w:val="20"/>
                <w:szCs w:val="20"/>
              </w:rPr>
              <w:t xml:space="preserve">Case-based learning </w:t>
            </w:r>
          </w:p>
          <w:p w:rsidR="003466BB" w:rsidRPr="00E85BC1" w:rsidRDefault="003466BB" w:rsidP="00B474FD">
            <w:pPr>
              <w:rPr>
                <w:rFonts w:asciiTheme="minorHAnsi" w:eastAsia="Times New Roman" w:hAnsiTheme="minorHAnsi"/>
                <w:bCs/>
                <w:color w:val="000000"/>
                <w:sz w:val="20"/>
                <w:szCs w:val="20"/>
              </w:rPr>
            </w:pPr>
            <w:r w:rsidRPr="00E85BC1">
              <w:rPr>
                <w:rFonts w:asciiTheme="minorHAnsi" w:eastAsia="Times New Roman" w:hAnsiTheme="minorHAnsi"/>
                <w:bCs/>
                <w:color w:val="000000"/>
                <w:sz w:val="20"/>
                <w:szCs w:val="20"/>
              </w:rPr>
              <w:t>Problem-based learning</w:t>
            </w:r>
          </w:p>
          <w:p w:rsidR="00B474FD" w:rsidRPr="00E85BC1" w:rsidRDefault="00B474FD" w:rsidP="00B474FD">
            <w:pPr>
              <w:rPr>
                <w:rFonts w:asciiTheme="minorHAnsi" w:eastAsia="Times New Roman" w:hAnsiTheme="minorHAnsi"/>
                <w:bCs/>
                <w:color w:val="000000"/>
                <w:sz w:val="20"/>
                <w:szCs w:val="20"/>
              </w:rPr>
            </w:pPr>
            <w:r w:rsidRPr="00E85BC1">
              <w:rPr>
                <w:rFonts w:asciiTheme="minorHAnsi" w:hAnsiTheme="minorHAnsi"/>
                <w:bCs/>
                <w:color w:val="000000"/>
                <w:sz w:val="20"/>
                <w:szCs w:val="20"/>
              </w:rPr>
              <w:t>Industrial theatre (drama)</w:t>
            </w:r>
            <w:r w:rsidRPr="00E85BC1">
              <w:rPr>
                <w:rFonts w:asciiTheme="minorHAnsi" w:eastAsia="Times New Roman" w:hAnsiTheme="minorHAnsi"/>
                <w:bCs/>
                <w:color w:val="000000"/>
                <w:sz w:val="20"/>
                <w:szCs w:val="20"/>
              </w:rPr>
              <w:t xml:space="preserve"> </w:t>
            </w:r>
          </w:p>
          <w:p w:rsidR="003466BB" w:rsidRPr="00E85BC1" w:rsidRDefault="003466BB" w:rsidP="00B474FD">
            <w:pPr>
              <w:rPr>
                <w:rFonts w:asciiTheme="minorHAnsi" w:hAnsiTheme="minorHAnsi"/>
                <w:bCs/>
                <w:color w:val="000000"/>
                <w:sz w:val="20"/>
                <w:szCs w:val="20"/>
              </w:rPr>
            </w:pPr>
            <w:r w:rsidRPr="00E85BC1">
              <w:rPr>
                <w:rFonts w:asciiTheme="minorHAnsi" w:eastAsia="Times New Roman" w:hAnsiTheme="minorHAnsi"/>
                <w:bCs/>
                <w:color w:val="000000"/>
                <w:sz w:val="20"/>
                <w:szCs w:val="20"/>
              </w:rPr>
              <w:t>Syndicate groups</w:t>
            </w:r>
          </w:p>
          <w:p w:rsidR="00FB1F15" w:rsidRPr="00E85BC1" w:rsidRDefault="00FB1F15" w:rsidP="00B474FD">
            <w:pPr>
              <w:rPr>
                <w:rFonts w:asciiTheme="minorHAnsi" w:hAnsiTheme="minorHAnsi"/>
                <w:bCs/>
                <w:color w:val="000000"/>
                <w:sz w:val="20"/>
                <w:szCs w:val="20"/>
              </w:rPr>
            </w:pPr>
            <w:r w:rsidRPr="00E85BC1">
              <w:rPr>
                <w:rFonts w:asciiTheme="minorHAnsi" w:hAnsiTheme="minorHAnsi"/>
                <w:bCs/>
                <w:color w:val="000000"/>
                <w:sz w:val="20"/>
                <w:szCs w:val="20"/>
              </w:rPr>
              <w:t>Moodle forum discussions</w:t>
            </w:r>
          </w:p>
          <w:p w:rsidR="003466BB" w:rsidRPr="00E85BC1" w:rsidRDefault="003466BB" w:rsidP="00B474FD">
            <w:pPr>
              <w:rPr>
                <w:rFonts w:asciiTheme="minorHAnsi" w:hAnsiTheme="minorHAnsi"/>
                <w:bCs/>
                <w:color w:val="000000"/>
                <w:sz w:val="20"/>
                <w:szCs w:val="20"/>
              </w:rPr>
            </w:pPr>
            <w:r w:rsidRPr="00E85BC1">
              <w:rPr>
                <w:rFonts w:asciiTheme="minorHAnsi" w:eastAsia="Times New Roman" w:hAnsiTheme="minorHAnsi"/>
                <w:bCs/>
                <w:color w:val="000000"/>
                <w:sz w:val="20"/>
                <w:szCs w:val="20"/>
              </w:rPr>
              <w:t>Test</w:t>
            </w:r>
            <w:r w:rsidRPr="00E85BC1">
              <w:rPr>
                <w:rFonts w:asciiTheme="minorHAnsi" w:hAnsiTheme="minorHAnsi"/>
                <w:bCs/>
                <w:color w:val="000000"/>
                <w:sz w:val="20"/>
                <w:szCs w:val="20"/>
              </w:rPr>
              <w:t>s</w:t>
            </w:r>
          </w:p>
          <w:p w:rsidR="00BE6D07" w:rsidRPr="00E85BC1" w:rsidRDefault="00BE6D07" w:rsidP="00B474FD">
            <w:pPr>
              <w:rPr>
                <w:rFonts w:asciiTheme="minorHAnsi" w:eastAsia="Times New Roman" w:hAnsiTheme="minorHAnsi"/>
                <w:sz w:val="20"/>
                <w:szCs w:val="20"/>
              </w:rPr>
            </w:pPr>
            <w:r w:rsidRPr="00E85BC1">
              <w:rPr>
                <w:rFonts w:asciiTheme="minorHAnsi" w:hAnsiTheme="minorHAnsi"/>
                <w:bCs/>
                <w:color w:val="000000"/>
                <w:sz w:val="20"/>
                <w:szCs w:val="20"/>
              </w:rPr>
              <w:t>Final examinations</w:t>
            </w:r>
          </w:p>
        </w:tc>
        <w:tc>
          <w:tcPr>
            <w:tcW w:w="4274" w:type="dxa"/>
          </w:tcPr>
          <w:p w:rsidR="00686A1D" w:rsidRPr="00E85BC1" w:rsidRDefault="00686A1D" w:rsidP="00893E24">
            <w:pPr>
              <w:rPr>
                <w:rFonts w:asciiTheme="minorHAnsi" w:eastAsia="Times New Roman" w:hAnsiTheme="minorHAnsi"/>
                <w:sz w:val="20"/>
                <w:szCs w:val="20"/>
              </w:rPr>
            </w:pPr>
            <w:r w:rsidRPr="00E85BC1">
              <w:rPr>
                <w:rFonts w:asciiTheme="minorHAnsi" w:hAnsiTheme="minorHAnsi"/>
                <w:bCs/>
                <w:color w:val="000000"/>
                <w:sz w:val="20"/>
                <w:szCs w:val="20"/>
              </w:rPr>
              <w:t>Developing academic writing proficiency and critical and integrative thinking skills</w:t>
            </w:r>
            <w:r w:rsidR="001E3732" w:rsidRPr="00E85BC1">
              <w:rPr>
                <w:rFonts w:asciiTheme="minorHAnsi" w:hAnsiTheme="minorHAnsi"/>
                <w:bCs/>
                <w:color w:val="000000"/>
                <w:sz w:val="20"/>
                <w:szCs w:val="20"/>
              </w:rPr>
              <w:t xml:space="preserve"> leads to engaged citizenship in a democratic society</w:t>
            </w:r>
          </w:p>
          <w:p w:rsidR="00686A1D" w:rsidRPr="00E85BC1" w:rsidRDefault="00686A1D" w:rsidP="00893E24">
            <w:pPr>
              <w:rPr>
                <w:rFonts w:asciiTheme="minorHAnsi" w:hAnsiTheme="minorHAnsi"/>
                <w:sz w:val="20"/>
                <w:szCs w:val="20"/>
              </w:rPr>
            </w:pPr>
          </w:p>
          <w:p w:rsidR="00921A03" w:rsidRPr="00E85BC1" w:rsidRDefault="00686A1D" w:rsidP="00893E24">
            <w:pPr>
              <w:rPr>
                <w:rFonts w:asciiTheme="minorHAnsi" w:hAnsiTheme="minorHAnsi"/>
                <w:sz w:val="20"/>
                <w:szCs w:val="20"/>
              </w:rPr>
            </w:pPr>
            <w:r w:rsidRPr="00E85BC1">
              <w:rPr>
                <w:rFonts w:asciiTheme="minorHAnsi" w:hAnsiTheme="minorHAnsi"/>
                <w:sz w:val="20"/>
                <w:szCs w:val="20"/>
              </w:rPr>
              <w:t xml:space="preserve">Interrogating theoretical and practical constructs of public financial governance, intergovernmental fiscal relations, local government, public policy and human resource management through </w:t>
            </w:r>
            <w:r w:rsidR="002E1CD6" w:rsidRPr="00E85BC1">
              <w:rPr>
                <w:rFonts w:asciiTheme="minorHAnsi" w:hAnsiTheme="minorHAnsi"/>
                <w:sz w:val="20"/>
                <w:szCs w:val="20"/>
              </w:rPr>
              <w:t xml:space="preserve">a lens of ethics and transparency by </w:t>
            </w:r>
            <w:r w:rsidRPr="00E85BC1">
              <w:rPr>
                <w:rFonts w:asciiTheme="minorHAnsi" w:hAnsiTheme="minorHAnsi"/>
                <w:sz w:val="20"/>
                <w:szCs w:val="20"/>
              </w:rPr>
              <w:t>critical analysis and evaluation of cases</w:t>
            </w:r>
            <w:r w:rsidR="001E3732" w:rsidRPr="00E85BC1">
              <w:rPr>
                <w:rFonts w:asciiTheme="minorHAnsi" w:hAnsiTheme="minorHAnsi"/>
                <w:sz w:val="20"/>
                <w:szCs w:val="20"/>
              </w:rPr>
              <w:t xml:space="preserve"> is empowering</w:t>
            </w:r>
          </w:p>
          <w:p w:rsidR="002E1CD6" w:rsidRPr="00E85BC1" w:rsidRDefault="002E1CD6" w:rsidP="00893E24">
            <w:pPr>
              <w:rPr>
                <w:rFonts w:asciiTheme="minorHAnsi" w:hAnsiTheme="minorHAnsi"/>
                <w:sz w:val="20"/>
                <w:szCs w:val="20"/>
              </w:rPr>
            </w:pPr>
          </w:p>
          <w:p w:rsidR="002E1CD6" w:rsidRPr="00E85BC1" w:rsidRDefault="002E1CD6" w:rsidP="00893E24">
            <w:pPr>
              <w:rPr>
                <w:rFonts w:asciiTheme="minorHAnsi" w:hAnsiTheme="minorHAnsi"/>
                <w:sz w:val="20"/>
                <w:szCs w:val="20"/>
              </w:rPr>
            </w:pPr>
            <w:r w:rsidRPr="00E85BC1">
              <w:rPr>
                <w:rFonts w:asciiTheme="minorHAnsi" w:hAnsiTheme="minorHAnsi"/>
                <w:sz w:val="20"/>
                <w:szCs w:val="20"/>
              </w:rPr>
              <w:t xml:space="preserve">Identification, articulation and brainstorming to develop learning objectives and </w:t>
            </w:r>
            <w:r w:rsidR="006F2ECE" w:rsidRPr="00E85BC1">
              <w:rPr>
                <w:rFonts w:asciiTheme="minorHAnsi" w:hAnsiTheme="minorHAnsi"/>
                <w:sz w:val="20"/>
                <w:szCs w:val="20"/>
              </w:rPr>
              <w:t xml:space="preserve">to engage in analytical </w:t>
            </w:r>
            <w:r w:rsidRPr="00E85BC1">
              <w:rPr>
                <w:rFonts w:asciiTheme="minorHAnsi" w:hAnsiTheme="minorHAnsi"/>
                <w:sz w:val="20"/>
                <w:szCs w:val="20"/>
              </w:rPr>
              <w:t>reiterative processes to address ill-designed case scenarios through PBL</w:t>
            </w:r>
            <w:r w:rsidR="001E3732" w:rsidRPr="00E85BC1">
              <w:rPr>
                <w:rFonts w:asciiTheme="minorHAnsi" w:hAnsiTheme="minorHAnsi"/>
                <w:sz w:val="20"/>
                <w:szCs w:val="20"/>
              </w:rPr>
              <w:t xml:space="preserve"> may lead to innovation in public governance</w:t>
            </w:r>
          </w:p>
          <w:p w:rsidR="00921A03" w:rsidRPr="00E85BC1" w:rsidRDefault="00921A03" w:rsidP="00893E24">
            <w:pPr>
              <w:rPr>
                <w:rFonts w:asciiTheme="minorHAnsi" w:hAnsiTheme="minorHAnsi"/>
                <w:sz w:val="20"/>
                <w:szCs w:val="20"/>
              </w:rPr>
            </w:pPr>
          </w:p>
          <w:p w:rsidR="00686A1D" w:rsidRPr="00E85BC1" w:rsidRDefault="00921A03" w:rsidP="00893E24">
            <w:pPr>
              <w:rPr>
                <w:rFonts w:asciiTheme="minorHAnsi" w:hAnsiTheme="minorHAnsi"/>
                <w:sz w:val="20"/>
                <w:szCs w:val="20"/>
              </w:rPr>
            </w:pPr>
            <w:r w:rsidRPr="00E85BC1">
              <w:rPr>
                <w:rFonts w:asciiTheme="minorHAnsi" w:hAnsiTheme="minorHAnsi"/>
                <w:sz w:val="20"/>
                <w:szCs w:val="20"/>
              </w:rPr>
              <w:t>A</w:t>
            </w:r>
            <w:r w:rsidR="00686A1D" w:rsidRPr="00E85BC1">
              <w:rPr>
                <w:rFonts w:asciiTheme="minorHAnsi" w:hAnsiTheme="minorHAnsi"/>
                <w:sz w:val="20"/>
                <w:szCs w:val="20"/>
              </w:rPr>
              <w:t>ctive participation of students in problem-solving exercises to demonstrate acquisition and application of knowledge</w:t>
            </w:r>
            <w:r w:rsidR="001E3732" w:rsidRPr="00E85BC1">
              <w:rPr>
                <w:rFonts w:asciiTheme="minorHAnsi" w:hAnsiTheme="minorHAnsi"/>
                <w:sz w:val="20"/>
                <w:szCs w:val="20"/>
              </w:rPr>
              <w:t xml:space="preserve"> gives students and parents ‘value-for-money’</w:t>
            </w:r>
          </w:p>
          <w:p w:rsidR="00686A1D" w:rsidRPr="00E85BC1" w:rsidRDefault="00686A1D" w:rsidP="00893E24">
            <w:pPr>
              <w:rPr>
                <w:rFonts w:asciiTheme="minorHAnsi" w:hAnsiTheme="minorHAnsi"/>
                <w:bCs/>
                <w:color w:val="000000"/>
                <w:sz w:val="20"/>
                <w:szCs w:val="20"/>
              </w:rPr>
            </w:pPr>
          </w:p>
          <w:p w:rsidR="00B474FD" w:rsidRPr="00E85BC1" w:rsidRDefault="00686A1D" w:rsidP="00893E24">
            <w:pPr>
              <w:rPr>
                <w:rFonts w:asciiTheme="minorHAnsi" w:hAnsiTheme="minorHAnsi"/>
                <w:bCs/>
                <w:color w:val="000000"/>
                <w:sz w:val="20"/>
                <w:szCs w:val="20"/>
              </w:rPr>
            </w:pPr>
            <w:r w:rsidRPr="00E85BC1">
              <w:rPr>
                <w:rFonts w:asciiTheme="minorHAnsi" w:hAnsiTheme="minorHAnsi"/>
                <w:bCs/>
                <w:color w:val="000000"/>
                <w:sz w:val="20"/>
                <w:szCs w:val="20"/>
              </w:rPr>
              <w:t>W</w:t>
            </w:r>
            <w:r w:rsidR="00B474FD" w:rsidRPr="00E85BC1">
              <w:rPr>
                <w:rFonts w:asciiTheme="minorHAnsi" w:hAnsiTheme="minorHAnsi"/>
                <w:bCs/>
                <w:color w:val="000000"/>
                <w:sz w:val="20"/>
                <w:szCs w:val="20"/>
              </w:rPr>
              <w:t>orkplace simulation</w:t>
            </w:r>
            <w:r w:rsidRPr="00E85BC1">
              <w:rPr>
                <w:rFonts w:asciiTheme="minorHAnsi" w:hAnsiTheme="minorHAnsi"/>
                <w:bCs/>
                <w:color w:val="000000"/>
                <w:sz w:val="20"/>
                <w:szCs w:val="20"/>
              </w:rPr>
              <w:t xml:space="preserve"> </w:t>
            </w:r>
            <w:r w:rsidR="002E1CD6" w:rsidRPr="00E85BC1">
              <w:rPr>
                <w:rFonts w:asciiTheme="minorHAnsi" w:hAnsiTheme="minorHAnsi"/>
                <w:bCs/>
                <w:color w:val="000000"/>
                <w:sz w:val="20"/>
                <w:szCs w:val="20"/>
              </w:rPr>
              <w:t xml:space="preserve">activities </w:t>
            </w:r>
            <w:r w:rsidR="001E3732" w:rsidRPr="00E85BC1">
              <w:rPr>
                <w:rFonts w:asciiTheme="minorHAnsi" w:hAnsiTheme="minorHAnsi"/>
                <w:bCs/>
                <w:color w:val="000000"/>
                <w:sz w:val="20"/>
                <w:szCs w:val="20"/>
              </w:rPr>
              <w:t>generate</w:t>
            </w:r>
            <w:r w:rsidR="002E1CD6" w:rsidRPr="00E85BC1">
              <w:rPr>
                <w:rFonts w:asciiTheme="minorHAnsi" w:hAnsiTheme="minorHAnsi"/>
                <w:bCs/>
                <w:color w:val="000000"/>
                <w:sz w:val="20"/>
                <w:szCs w:val="20"/>
              </w:rPr>
              <w:t xml:space="preserve"> workplace preparedness</w:t>
            </w:r>
          </w:p>
          <w:p w:rsidR="00686A1D" w:rsidRPr="00E85BC1" w:rsidRDefault="00686A1D" w:rsidP="00686A1D">
            <w:pPr>
              <w:rPr>
                <w:rFonts w:asciiTheme="minorHAnsi" w:hAnsiTheme="minorHAnsi"/>
                <w:bCs/>
                <w:color w:val="000000"/>
                <w:sz w:val="20"/>
                <w:szCs w:val="20"/>
              </w:rPr>
            </w:pPr>
          </w:p>
          <w:p w:rsidR="004F6D1F" w:rsidRPr="00E85BC1" w:rsidRDefault="00686A1D" w:rsidP="00921A03">
            <w:pPr>
              <w:rPr>
                <w:rFonts w:asciiTheme="minorHAnsi" w:hAnsiTheme="minorHAnsi"/>
                <w:bCs/>
                <w:color w:val="000000"/>
                <w:sz w:val="20"/>
                <w:szCs w:val="20"/>
              </w:rPr>
            </w:pPr>
            <w:r w:rsidRPr="00E85BC1">
              <w:rPr>
                <w:rFonts w:asciiTheme="minorHAnsi" w:hAnsiTheme="minorHAnsi"/>
                <w:bCs/>
                <w:color w:val="000000"/>
                <w:sz w:val="20"/>
                <w:szCs w:val="20"/>
              </w:rPr>
              <w:t>Team-building and co</w:t>
            </w:r>
            <w:r w:rsidR="00921A03" w:rsidRPr="00E85BC1">
              <w:rPr>
                <w:rFonts w:asciiTheme="minorHAnsi" w:hAnsiTheme="minorHAnsi"/>
                <w:bCs/>
                <w:color w:val="000000"/>
                <w:sz w:val="20"/>
                <w:szCs w:val="20"/>
              </w:rPr>
              <w:t>ope</w:t>
            </w:r>
            <w:r w:rsidRPr="00E85BC1">
              <w:rPr>
                <w:rFonts w:asciiTheme="minorHAnsi" w:hAnsiTheme="minorHAnsi"/>
                <w:bCs/>
                <w:color w:val="000000"/>
                <w:sz w:val="20"/>
                <w:szCs w:val="20"/>
              </w:rPr>
              <w:t xml:space="preserve">rative </w:t>
            </w:r>
            <w:r w:rsidR="00921A03" w:rsidRPr="00E85BC1">
              <w:rPr>
                <w:rFonts w:asciiTheme="minorHAnsi" w:hAnsiTheme="minorHAnsi"/>
                <w:bCs/>
                <w:color w:val="000000"/>
                <w:sz w:val="20"/>
                <w:szCs w:val="20"/>
              </w:rPr>
              <w:t>decision-making and accountability</w:t>
            </w:r>
            <w:r w:rsidR="001E3732" w:rsidRPr="00E85BC1">
              <w:rPr>
                <w:rFonts w:asciiTheme="minorHAnsi" w:hAnsiTheme="minorHAnsi"/>
                <w:bCs/>
                <w:color w:val="000000"/>
                <w:sz w:val="20"/>
                <w:szCs w:val="20"/>
              </w:rPr>
              <w:t xml:space="preserve"> make for better leaders in a diverse society</w:t>
            </w:r>
          </w:p>
          <w:p w:rsidR="002E1CD6" w:rsidRPr="00E85BC1" w:rsidRDefault="002E1CD6" w:rsidP="00921A03">
            <w:pPr>
              <w:rPr>
                <w:rFonts w:asciiTheme="minorHAnsi" w:hAnsiTheme="minorHAnsi"/>
                <w:bCs/>
                <w:color w:val="000000"/>
                <w:sz w:val="20"/>
                <w:szCs w:val="20"/>
              </w:rPr>
            </w:pPr>
          </w:p>
          <w:p w:rsidR="002E1CD6" w:rsidRPr="00E85BC1" w:rsidRDefault="002E1CD6" w:rsidP="00921A03">
            <w:pPr>
              <w:rPr>
                <w:rFonts w:asciiTheme="minorHAnsi" w:eastAsia="Times New Roman" w:hAnsiTheme="minorHAnsi"/>
                <w:sz w:val="20"/>
                <w:szCs w:val="20"/>
              </w:rPr>
            </w:pPr>
            <w:r w:rsidRPr="00E85BC1">
              <w:rPr>
                <w:rFonts w:asciiTheme="minorHAnsi" w:hAnsiTheme="minorHAnsi"/>
                <w:bCs/>
                <w:color w:val="000000"/>
                <w:sz w:val="20"/>
                <w:szCs w:val="20"/>
              </w:rPr>
              <w:lastRenderedPageBreak/>
              <w:t>Small group learning, where resources are available for postgraduate facilitators, intensifies and fortifies the undergraduate learning experience.</w:t>
            </w:r>
          </w:p>
        </w:tc>
      </w:tr>
      <w:tr w:rsidR="00AD257D" w:rsidTr="004F6D1F">
        <w:tc>
          <w:tcPr>
            <w:tcW w:w="1998" w:type="dxa"/>
          </w:tcPr>
          <w:p w:rsidR="00AD257D" w:rsidRPr="00E85BC1" w:rsidRDefault="00AD257D" w:rsidP="00893E24">
            <w:pPr>
              <w:rPr>
                <w:rFonts w:asciiTheme="minorHAnsi" w:eastAsia="Times New Roman" w:hAnsiTheme="minorHAnsi"/>
                <w:sz w:val="20"/>
                <w:szCs w:val="20"/>
              </w:rPr>
            </w:pPr>
            <w:r w:rsidRPr="00E85BC1">
              <w:rPr>
                <w:rFonts w:asciiTheme="minorHAnsi" w:eastAsia="Times New Roman" w:hAnsiTheme="minorHAnsi"/>
                <w:sz w:val="20"/>
                <w:szCs w:val="20"/>
              </w:rPr>
              <w:lastRenderedPageBreak/>
              <w:t>Third year</w:t>
            </w:r>
            <w:r w:rsidR="003466BB" w:rsidRPr="00E85BC1">
              <w:rPr>
                <w:rFonts w:asciiTheme="minorHAnsi" w:eastAsia="Times New Roman" w:hAnsiTheme="minorHAnsi"/>
                <w:sz w:val="20"/>
                <w:szCs w:val="20"/>
              </w:rPr>
              <w:t xml:space="preserve"> overview of assessments across four modules</w:t>
            </w:r>
          </w:p>
        </w:tc>
        <w:tc>
          <w:tcPr>
            <w:tcW w:w="2970" w:type="dxa"/>
          </w:tcPr>
          <w:p w:rsidR="00AD257D" w:rsidRPr="00E85BC1" w:rsidRDefault="00B474FD" w:rsidP="00893E24">
            <w:pPr>
              <w:rPr>
                <w:rFonts w:asciiTheme="minorHAnsi" w:eastAsia="Times New Roman" w:hAnsiTheme="minorHAnsi"/>
                <w:sz w:val="20"/>
                <w:szCs w:val="20"/>
              </w:rPr>
            </w:pPr>
            <w:r w:rsidRPr="00E85BC1">
              <w:rPr>
                <w:rFonts w:asciiTheme="minorHAnsi" w:eastAsia="Times New Roman" w:hAnsiTheme="minorHAnsi"/>
                <w:sz w:val="20"/>
                <w:szCs w:val="20"/>
              </w:rPr>
              <w:t>Inter-office memora</w:t>
            </w:r>
            <w:r w:rsidR="00BE6D07" w:rsidRPr="00E85BC1">
              <w:rPr>
                <w:rFonts w:asciiTheme="minorHAnsi" w:eastAsia="Times New Roman" w:hAnsiTheme="minorHAnsi"/>
                <w:sz w:val="20"/>
                <w:szCs w:val="20"/>
              </w:rPr>
              <w:t>nda</w:t>
            </w:r>
          </w:p>
          <w:p w:rsidR="00B474FD" w:rsidRPr="00E85BC1" w:rsidRDefault="00B474FD" w:rsidP="00893E24">
            <w:pPr>
              <w:rPr>
                <w:rFonts w:asciiTheme="minorHAnsi" w:eastAsia="Times New Roman" w:hAnsiTheme="minorHAnsi"/>
                <w:sz w:val="20"/>
                <w:szCs w:val="20"/>
              </w:rPr>
            </w:pPr>
            <w:r w:rsidRPr="00E85BC1">
              <w:rPr>
                <w:rFonts w:asciiTheme="minorHAnsi" w:eastAsia="Times New Roman" w:hAnsiTheme="minorHAnsi"/>
                <w:sz w:val="20"/>
                <w:szCs w:val="20"/>
              </w:rPr>
              <w:t>Policy brief</w:t>
            </w:r>
            <w:r w:rsidR="00BE6D07" w:rsidRPr="00E85BC1">
              <w:rPr>
                <w:rFonts w:asciiTheme="minorHAnsi" w:eastAsia="Times New Roman" w:hAnsiTheme="minorHAnsi"/>
                <w:sz w:val="20"/>
                <w:szCs w:val="20"/>
              </w:rPr>
              <w:t>s</w:t>
            </w:r>
          </w:p>
          <w:p w:rsidR="00B474FD" w:rsidRPr="00E85BC1" w:rsidRDefault="00B474FD" w:rsidP="00893E24">
            <w:pPr>
              <w:rPr>
                <w:rFonts w:asciiTheme="minorHAnsi" w:eastAsia="Times New Roman" w:hAnsiTheme="minorHAnsi"/>
                <w:sz w:val="20"/>
                <w:szCs w:val="20"/>
              </w:rPr>
            </w:pPr>
            <w:r w:rsidRPr="00E85BC1">
              <w:rPr>
                <w:rFonts w:asciiTheme="minorHAnsi" w:eastAsia="Times New Roman" w:hAnsiTheme="minorHAnsi"/>
                <w:sz w:val="20"/>
                <w:szCs w:val="20"/>
              </w:rPr>
              <w:t>Persuasive position paper</w:t>
            </w:r>
          </w:p>
          <w:p w:rsidR="00B474FD" w:rsidRPr="00E85BC1" w:rsidRDefault="00FB1F15" w:rsidP="00893E24">
            <w:pPr>
              <w:rPr>
                <w:rFonts w:asciiTheme="minorHAnsi" w:eastAsia="Times New Roman" w:hAnsiTheme="minorHAnsi"/>
                <w:sz w:val="20"/>
                <w:szCs w:val="20"/>
              </w:rPr>
            </w:pPr>
            <w:r w:rsidRPr="00E85BC1">
              <w:rPr>
                <w:rFonts w:asciiTheme="minorHAnsi" w:eastAsia="Times New Roman" w:hAnsiTheme="minorHAnsi"/>
                <w:sz w:val="20"/>
                <w:szCs w:val="20"/>
              </w:rPr>
              <w:t>D</w:t>
            </w:r>
            <w:r w:rsidR="00B474FD" w:rsidRPr="00E85BC1">
              <w:rPr>
                <w:rFonts w:asciiTheme="minorHAnsi" w:eastAsia="Times New Roman" w:hAnsiTheme="minorHAnsi"/>
                <w:sz w:val="20"/>
                <w:szCs w:val="20"/>
              </w:rPr>
              <w:t>ebate</w:t>
            </w:r>
            <w:r w:rsidRPr="00E85BC1">
              <w:rPr>
                <w:rFonts w:asciiTheme="minorHAnsi" w:eastAsia="Times New Roman" w:hAnsiTheme="minorHAnsi"/>
                <w:sz w:val="20"/>
                <w:szCs w:val="20"/>
              </w:rPr>
              <w:t xml:space="preserve"> team performance</w:t>
            </w:r>
            <w:r w:rsidR="003466BB" w:rsidRPr="00E85BC1">
              <w:rPr>
                <w:rFonts w:asciiTheme="minorHAnsi" w:eastAsia="Times New Roman" w:hAnsiTheme="minorHAnsi"/>
                <w:sz w:val="20"/>
                <w:szCs w:val="20"/>
              </w:rPr>
              <w:t>s</w:t>
            </w:r>
          </w:p>
          <w:p w:rsidR="00FB1F15" w:rsidRPr="00E85BC1" w:rsidRDefault="00FB1F15" w:rsidP="00893E24">
            <w:pPr>
              <w:rPr>
                <w:rFonts w:asciiTheme="minorHAnsi" w:eastAsia="Times New Roman" w:hAnsiTheme="minorHAnsi"/>
                <w:sz w:val="20"/>
                <w:szCs w:val="20"/>
              </w:rPr>
            </w:pPr>
            <w:r w:rsidRPr="00E85BC1">
              <w:rPr>
                <w:rFonts w:asciiTheme="minorHAnsi" w:eastAsia="Times New Roman" w:hAnsiTheme="minorHAnsi"/>
                <w:sz w:val="20"/>
                <w:szCs w:val="20"/>
              </w:rPr>
              <w:t>Scholarly research paper</w:t>
            </w:r>
          </w:p>
          <w:p w:rsidR="00BB09DE" w:rsidRPr="00E85BC1" w:rsidRDefault="00BB09DE" w:rsidP="00893E24">
            <w:pPr>
              <w:rPr>
                <w:rFonts w:asciiTheme="minorHAnsi" w:eastAsia="Times New Roman" w:hAnsiTheme="minorHAnsi"/>
                <w:sz w:val="20"/>
                <w:szCs w:val="20"/>
              </w:rPr>
            </w:pPr>
            <w:r w:rsidRPr="00E85BC1">
              <w:rPr>
                <w:rFonts w:asciiTheme="minorHAnsi" w:eastAsia="Times New Roman" w:hAnsiTheme="minorHAnsi"/>
                <w:sz w:val="20"/>
                <w:szCs w:val="20"/>
              </w:rPr>
              <w:t>Infrastructure project design</w:t>
            </w:r>
          </w:p>
          <w:p w:rsidR="00DF093F" w:rsidRPr="00E85BC1" w:rsidRDefault="00DF093F" w:rsidP="00893E24">
            <w:pPr>
              <w:rPr>
                <w:rFonts w:asciiTheme="minorHAnsi" w:eastAsia="Times New Roman" w:hAnsiTheme="minorHAnsi"/>
                <w:sz w:val="20"/>
                <w:szCs w:val="20"/>
              </w:rPr>
            </w:pPr>
            <w:r w:rsidRPr="00E85BC1">
              <w:rPr>
                <w:rFonts w:asciiTheme="minorHAnsi" w:eastAsia="Times New Roman" w:hAnsiTheme="minorHAnsi"/>
                <w:sz w:val="20"/>
                <w:szCs w:val="20"/>
              </w:rPr>
              <w:t>Portfolios of evidence</w:t>
            </w:r>
          </w:p>
          <w:p w:rsidR="003466BB" w:rsidRPr="00E85BC1" w:rsidRDefault="003466BB" w:rsidP="00893E24">
            <w:pPr>
              <w:rPr>
                <w:rFonts w:asciiTheme="minorHAnsi" w:eastAsia="Times New Roman" w:hAnsiTheme="minorHAnsi"/>
                <w:sz w:val="20"/>
                <w:szCs w:val="20"/>
              </w:rPr>
            </w:pPr>
            <w:r w:rsidRPr="00E85BC1">
              <w:rPr>
                <w:rFonts w:asciiTheme="minorHAnsi" w:eastAsia="Times New Roman" w:hAnsiTheme="minorHAnsi"/>
                <w:sz w:val="20"/>
                <w:szCs w:val="20"/>
              </w:rPr>
              <w:t>Syndicate groups</w:t>
            </w:r>
          </w:p>
          <w:p w:rsidR="00FB1F15" w:rsidRPr="00E85BC1" w:rsidRDefault="00FB1F15" w:rsidP="00893E24">
            <w:pPr>
              <w:rPr>
                <w:rFonts w:asciiTheme="minorHAnsi" w:eastAsia="Times New Roman" w:hAnsiTheme="minorHAnsi"/>
                <w:sz w:val="20"/>
                <w:szCs w:val="20"/>
              </w:rPr>
            </w:pPr>
            <w:r w:rsidRPr="00E85BC1">
              <w:rPr>
                <w:rFonts w:asciiTheme="minorHAnsi" w:eastAsia="Times New Roman" w:hAnsiTheme="minorHAnsi"/>
                <w:sz w:val="20"/>
                <w:szCs w:val="20"/>
              </w:rPr>
              <w:t>Moodle forum discussions</w:t>
            </w:r>
          </w:p>
          <w:p w:rsidR="00DF093F" w:rsidRPr="00E85BC1" w:rsidRDefault="006F2ECE" w:rsidP="00893E24">
            <w:pPr>
              <w:rPr>
                <w:rFonts w:asciiTheme="minorHAnsi" w:eastAsia="Times New Roman" w:hAnsiTheme="minorHAnsi"/>
                <w:sz w:val="20"/>
                <w:szCs w:val="20"/>
              </w:rPr>
            </w:pPr>
            <w:r w:rsidRPr="00E85BC1">
              <w:rPr>
                <w:rFonts w:asciiTheme="minorHAnsi" w:eastAsia="Times New Roman" w:hAnsiTheme="minorHAnsi"/>
                <w:sz w:val="20"/>
                <w:szCs w:val="20"/>
              </w:rPr>
              <w:t>T</w:t>
            </w:r>
            <w:r w:rsidR="00DF093F" w:rsidRPr="00E85BC1">
              <w:rPr>
                <w:rFonts w:asciiTheme="minorHAnsi" w:eastAsia="Times New Roman" w:hAnsiTheme="minorHAnsi"/>
                <w:sz w:val="20"/>
                <w:szCs w:val="20"/>
              </w:rPr>
              <w:t>ests</w:t>
            </w:r>
          </w:p>
          <w:p w:rsidR="00DF093F" w:rsidRPr="00E85BC1" w:rsidRDefault="00DF093F" w:rsidP="00893E24">
            <w:pPr>
              <w:rPr>
                <w:rFonts w:asciiTheme="minorHAnsi" w:eastAsia="Times New Roman" w:hAnsiTheme="minorHAnsi"/>
                <w:sz w:val="20"/>
                <w:szCs w:val="20"/>
              </w:rPr>
            </w:pPr>
            <w:r w:rsidRPr="00E85BC1">
              <w:rPr>
                <w:rFonts w:asciiTheme="minorHAnsi" w:eastAsia="Times New Roman" w:hAnsiTheme="minorHAnsi"/>
                <w:sz w:val="20"/>
                <w:szCs w:val="20"/>
              </w:rPr>
              <w:t>Final examination</w:t>
            </w:r>
            <w:r w:rsidR="00BE6D07" w:rsidRPr="00E85BC1">
              <w:rPr>
                <w:rFonts w:asciiTheme="minorHAnsi" w:eastAsia="Times New Roman" w:hAnsiTheme="minorHAnsi"/>
                <w:sz w:val="20"/>
                <w:szCs w:val="20"/>
              </w:rPr>
              <w:t>s</w:t>
            </w:r>
          </w:p>
        </w:tc>
        <w:tc>
          <w:tcPr>
            <w:tcW w:w="4274" w:type="dxa"/>
          </w:tcPr>
          <w:p w:rsidR="00686A1D" w:rsidRPr="00E85BC1" w:rsidRDefault="00686A1D" w:rsidP="00893E24">
            <w:pPr>
              <w:rPr>
                <w:rFonts w:asciiTheme="minorHAnsi" w:eastAsia="Times New Roman" w:hAnsiTheme="minorHAnsi"/>
                <w:sz w:val="20"/>
                <w:szCs w:val="20"/>
              </w:rPr>
            </w:pPr>
            <w:r w:rsidRPr="00E85BC1">
              <w:rPr>
                <w:rFonts w:asciiTheme="minorHAnsi" w:hAnsiTheme="minorHAnsi"/>
                <w:bCs/>
                <w:color w:val="000000"/>
                <w:sz w:val="20"/>
                <w:szCs w:val="20"/>
              </w:rPr>
              <w:t>Developing academic writing proficiency and critical and integrative thinking skills for self and collaboratively with others</w:t>
            </w:r>
            <w:r w:rsidR="00335C36" w:rsidRPr="00E85BC1">
              <w:rPr>
                <w:rFonts w:asciiTheme="minorHAnsi" w:hAnsiTheme="minorHAnsi"/>
                <w:bCs/>
                <w:color w:val="000000"/>
                <w:sz w:val="20"/>
                <w:szCs w:val="20"/>
              </w:rPr>
              <w:t xml:space="preserve"> leads to engaged citizens in a democratic society</w:t>
            </w:r>
          </w:p>
          <w:p w:rsidR="00686A1D" w:rsidRPr="00E85BC1" w:rsidRDefault="00686A1D" w:rsidP="00893E24">
            <w:pPr>
              <w:rPr>
                <w:rFonts w:asciiTheme="minorHAnsi" w:eastAsia="Times New Roman" w:hAnsiTheme="minorHAnsi"/>
                <w:sz w:val="20"/>
                <w:szCs w:val="20"/>
              </w:rPr>
            </w:pPr>
          </w:p>
          <w:p w:rsidR="00AD257D" w:rsidRPr="00E85BC1" w:rsidRDefault="00356F3B" w:rsidP="00893E24">
            <w:pPr>
              <w:rPr>
                <w:rFonts w:asciiTheme="minorHAnsi" w:eastAsia="Times New Roman" w:hAnsiTheme="minorHAnsi"/>
                <w:sz w:val="20"/>
                <w:szCs w:val="20"/>
              </w:rPr>
            </w:pPr>
            <w:r w:rsidRPr="00E85BC1">
              <w:rPr>
                <w:rFonts w:asciiTheme="minorHAnsi" w:eastAsia="Times New Roman" w:hAnsiTheme="minorHAnsi"/>
                <w:sz w:val="20"/>
                <w:szCs w:val="20"/>
              </w:rPr>
              <w:t>Intensive r</w:t>
            </w:r>
            <w:r w:rsidR="00FB1F15" w:rsidRPr="00E85BC1">
              <w:rPr>
                <w:rFonts w:asciiTheme="minorHAnsi" w:eastAsia="Times New Roman" w:hAnsiTheme="minorHAnsi"/>
                <w:sz w:val="20"/>
                <w:szCs w:val="20"/>
              </w:rPr>
              <w:t>esearch and writing</w:t>
            </w:r>
            <w:r w:rsidR="001E3732" w:rsidRPr="00E85BC1">
              <w:rPr>
                <w:rFonts w:asciiTheme="minorHAnsi" w:eastAsia="Times New Roman" w:hAnsiTheme="minorHAnsi"/>
                <w:sz w:val="20"/>
                <w:szCs w:val="20"/>
              </w:rPr>
              <w:t xml:space="preserve">, </w:t>
            </w:r>
            <w:r w:rsidR="00335C36" w:rsidRPr="00E85BC1">
              <w:rPr>
                <w:rFonts w:asciiTheme="minorHAnsi" w:eastAsia="Times New Roman" w:hAnsiTheme="minorHAnsi"/>
                <w:sz w:val="20"/>
                <w:szCs w:val="20"/>
              </w:rPr>
              <w:t>are not</w:t>
            </w:r>
            <w:r w:rsidR="001E3732" w:rsidRPr="00E85BC1">
              <w:rPr>
                <w:rFonts w:asciiTheme="minorHAnsi" w:eastAsia="Times New Roman" w:hAnsiTheme="minorHAnsi"/>
                <w:sz w:val="20"/>
                <w:szCs w:val="20"/>
              </w:rPr>
              <w:t xml:space="preserve"> mere tasks but</w:t>
            </w:r>
            <w:r w:rsidR="002E1CD6" w:rsidRPr="00E85BC1">
              <w:rPr>
                <w:rFonts w:asciiTheme="minorHAnsi" w:eastAsia="Times New Roman" w:hAnsiTheme="minorHAnsi"/>
                <w:sz w:val="20"/>
                <w:szCs w:val="20"/>
              </w:rPr>
              <w:t xml:space="preserve"> </w:t>
            </w:r>
            <w:r w:rsidR="001E3732" w:rsidRPr="00E85BC1">
              <w:rPr>
                <w:rFonts w:asciiTheme="minorHAnsi" w:eastAsia="Times New Roman" w:hAnsiTheme="minorHAnsi"/>
                <w:sz w:val="20"/>
                <w:szCs w:val="20"/>
              </w:rPr>
              <w:t xml:space="preserve">highly </w:t>
            </w:r>
            <w:r w:rsidR="002E1CD6" w:rsidRPr="00E85BC1">
              <w:rPr>
                <w:rFonts w:asciiTheme="minorHAnsi" w:eastAsia="Times New Roman" w:hAnsiTheme="minorHAnsi"/>
                <w:sz w:val="20"/>
                <w:szCs w:val="20"/>
              </w:rPr>
              <w:t>desirable skills</w:t>
            </w:r>
            <w:r w:rsidR="00335C36" w:rsidRPr="00E85BC1">
              <w:rPr>
                <w:rFonts w:asciiTheme="minorHAnsi" w:eastAsia="Times New Roman" w:hAnsiTheme="minorHAnsi"/>
                <w:sz w:val="20"/>
                <w:szCs w:val="20"/>
              </w:rPr>
              <w:t xml:space="preserve"> in the face of skills deficits in the country</w:t>
            </w:r>
          </w:p>
          <w:p w:rsidR="002E1CD6" w:rsidRPr="00E85BC1" w:rsidRDefault="002E1CD6" w:rsidP="00893E24">
            <w:pPr>
              <w:rPr>
                <w:rFonts w:asciiTheme="minorHAnsi" w:eastAsia="Times New Roman" w:hAnsiTheme="minorHAnsi"/>
                <w:sz w:val="20"/>
                <w:szCs w:val="20"/>
              </w:rPr>
            </w:pPr>
          </w:p>
          <w:p w:rsidR="00FB1F15" w:rsidRPr="00E85BC1" w:rsidRDefault="00FB1F15" w:rsidP="00893E24">
            <w:pPr>
              <w:rPr>
                <w:rFonts w:asciiTheme="minorHAnsi" w:eastAsia="Times New Roman" w:hAnsiTheme="minorHAnsi"/>
                <w:sz w:val="20"/>
                <w:szCs w:val="20"/>
              </w:rPr>
            </w:pPr>
            <w:r w:rsidRPr="00E85BC1">
              <w:rPr>
                <w:rFonts w:asciiTheme="minorHAnsi" w:eastAsia="Times New Roman" w:hAnsiTheme="minorHAnsi"/>
                <w:sz w:val="20"/>
                <w:szCs w:val="20"/>
              </w:rPr>
              <w:t>Writing and critical analysis for a variety of audiences</w:t>
            </w:r>
            <w:r w:rsidR="001E3732" w:rsidRPr="00E85BC1">
              <w:rPr>
                <w:rFonts w:asciiTheme="minorHAnsi" w:eastAsia="Times New Roman" w:hAnsiTheme="minorHAnsi"/>
                <w:sz w:val="20"/>
                <w:szCs w:val="20"/>
              </w:rPr>
              <w:t xml:space="preserve"> endow students with a sense of professionalism and know-how</w:t>
            </w:r>
          </w:p>
          <w:p w:rsidR="002E1CD6" w:rsidRPr="00E85BC1" w:rsidRDefault="002E1CD6" w:rsidP="00893E24">
            <w:pPr>
              <w:rPr>
                <w:rFonts w:asciiTheme="minorHAnsi" w:eastAsia="Times New Roman" w:hAnsiTheme="minorHAnsi"/>
                <w:sz w:val="20"/>
                <w:szCs w:val="20"/>
              </w:rPr>
            </w:pPr>
          </w:p>
          <w:p w:rsidR="00DF093F" w:rsidRPr="00E85BC1" w:rsidRDefault="00BE6D07" w:rsidP="00893E24">
            <w:pPr>
              <w:rPr>
                <w:rFonts w:asciiTheme="minorHAnsi" w:eastAsia="Times New Roman" w:hAnsiTheme="minorHAnsi"/>
                <w:sz w:val="20"/>
                <w:szCs w:val="20"/>
              </w:rPr>
            </w:pPr>
            <w:r w:rsidRPr="00E85BC1">
              <w:rPr>
                <w:rFonts w:asciiTheme="minorHAnsi" w:eastAsia="Times New Roman" w:hAnsiTheme="minorHAnsi"/>
                <w:sz w:val="20"/>
                <w:szCs w:val="20"/>
              </w:rPr>
              <w:t>Proj</w:t>
            </w:r>
            <w:r w:rsidR="002E1CD6" w:rsidRPr="00E85BC1">
              <w:rPr>
                <w:rFonts w:asciiTheme="minorHAnsi" w:eastAsia="Times New Roman" w:hAnsiTheme="minorHAnsi"/>
                <w:sz w:val="20"/>
                <w:szCs w:val="20"/>
              </w:rPr>
              <w:t xml:space="preserve">ect-based learning </w:t>
            </w:r>
            <w:r w:rsidR="00BB09DE" w:rsidRPr="00E85BC1">
              <w:rPr>
                <w:rFonts w:asciiTheme="minorHAnsi" w:eastAsia="Times New Roman" w:hAnsiTheme="minorHAnsi"/>
                <w:sz w:val="20"/>
                <w:szCs w:val="20"/>
              </w:rPr>
              <w:t xml:space="preserve">in relation to development policy </w:t>
            </w:r>
            <w:r w:rsidR="002E1CD6" w:rsidRPr="00E85BC1">
              <w:rPr>
                <w:rFonts w:asciiTheme="minorHAnsi" w:eastAsia="Times New Roman" w:hAnsiTheme="minorHAnsi"/>
                <w:sz w:val="20"/>
                <w:szCs w:val="20"/>
              </w:rPr>
              <w:t>confronts students with analysing existing and planning r</w:t>
            </w:r>
            <w:r w:rsidR="00DF093F" w:rsidRPr="00E85BC1">
              <w:rPr>
                <w:rFonts w:asciiTheme="minorHAnsi" w:eastAsia="Times New Roman" w:hAnsiTheme="minorHAnsi"/>
                <w:sz w:val="20"/>
                <w:szCs w:val="20"/>
              </w:rPr>
              <w:t>eal-life infrastructure projects</w:t>
            </w:r>
            <w:r w:rsidR="002E1CD6" w:rsidRPr="00E85BC1">
              <w:rPr>
                <w:rFonts w:asciiTheme="minorHAnsi" w:eastAsia="Times New Roman" w:hAnsiTheme="minorHAnsi"/>
                <w:sz w:val="20"/>
                <w:szCs w:val="20"/>
              </w:rPr>
              <w:t xml:space="preserve"> in developmental South Africa</w:t>
            </w:r>
            <w:r w:rsidR="00D859FC" w:rsidRPr="00E85BC1">
              <w:rPr>
                <w:rFonts w:asciiTheme="minorHAnsi" w:eastAsia="Times New Roman" w:hAnsiTheme="minorHAnsi"/>
                <w:sz w:val="20"/>
                <w:szCs w:val="20"/>
              </w:rPr>
              <w:t>. Site visits to actual projects sites are useful.</w:t>
            </w:r>
          </w:p>
          <w:p w:rsidR="002E1CD6" w:rsidRPr="00E85BC1" w:rsidRDefault="002E1CD6" w:rsidP="00893E24">
            <w:pPr>
              <w:rPr>
                <w:rFonts w:asciiTheme="minorHAnsi" w:eastAsia="Times New Roman" w:hAnsiTheme="minorHAnsi"/>
                <w:sz w:val="20"/>
                <w:szCs w:val="20"/>
              </w:rPr>
            </w:pPr>
          </w:p>
          <w:p w:rsidR="00356F3B" w:rsidRPr="00E85BC1" w:rsidRDefault="00356F3B" w:rsidP="00893E24">
            <w:pPr>
              <w:rPr>
                <w:rFonts w:asciiTheme="minorHAnsi" w:eastAsia="Times New Roman" w:hAnsiTheme="minorHAnsi"/>
                <w:sz w:val="20"/>
                <w:szCs w:val="20"/>
              </w:rPr>
            </w:pPr>
            <w:r w:rsidRPr="00E85BC1">
              <w:rPr>
                <w:rFonts w:asciiTheme="minorHAnsi" w:eastAsia="Times New Roman" w:hAnsiTheme="minorHAnsi"/>
                <w:sz w:val="20"/>
                <w:szCs w:val="20"/>
              </w:rPr>
              <w:t>Workplace preparedness</w:t>
            </w:r>
            <w:r w:rsidR="002E1CD6" w:rsidRPr="00E85BC1">
              <w:rPr>
                <w:rFonts w:asciiTheme="minorHAnsi" w:eastAsia="Times New Roman" w:hAnsiTheme="minorHAnsi"/>
                <w:sz w:val="20"/>
                <w:szCs w:val="20"/>
              </w:rPr>
              <w:t xml:space="preserve"> increases employment opportunities for students</w:t>
            </w:r>
          </w:p>
          <w:p w:rsidR="002E1CD6" w:rsidRPr="00E85BC1" w:rsidRDefault="002E1CD6" w:rsidP="00893E24">
            <w:pPr>
              <w:rPr>
                <w:rFonts w:asciiTheme="minorHAnsi" w:eastAsia="Times New Roman" w:hAnsiTheme="minorHAnsi"/>
                <w:sz w:val="20"/>
                <w:szCs w:val="20"/>
              </w:rPr>
            </w:pPr>
          </w:p>
          <w:p w:rsidR="00356F3B" w:rsidRPr="00E85BC1" w:rsidRDefault="00356F3B" w:rsidP="00893E24">
            <w:pPr>
              <w:rPr>
                <w:rFonts w:asciiTheme="minorHAnsi" w:eastAsia="Times New Roman" w:hAnsiTheme="minorHAnsi"/>
                <w:sz w:val="20"/>
                <w:szCs w:val="20"/>
              </w:rPr>
            </w:pPr>
            <w:r w:rsidRPr="00E85BC1">
              <w:rPr>
                <w:rFonts w:asciiTheme="minorHAnsi" w:eastAsia="Times New Roman" w:hAnsiTheme="minorHAnsi"/>
                <w:sz w:val="20"/>
                <w:szCs w:val="20"/>
              </w:rPr>
              <w:t>Postgraduate study preparation</w:t>
            </w:r>
            <w:r w:rsidR="00335C36" w:rsidRPr="00E85BC1">
              <w:rPr>
                <w:rFonts w:asciiTheme="minorHAnsi" w:eastAsia="Times New Roman" w:hAnsiTheme="minorHAnsi"/>
                <w:sz w:val="20"/>
                <w:szCs w:val="20"/>
              </w:rPr>
              <w:t xml:space="preserve"> shortens time required for postgraduate study, opening space for others</w:t>
            </w:r>
          </w:p>
          <w:p w:rsidR="002E1CD6" w:rsidRPr="00E85BC1" w:rsidRDefault="002E1CD6" w:rsidP="00893E24">
            <w:pPr>
              <w:rPr>
                <w:rFonts w:asciiTheme="minorHAnsi" w:eastAsia="Times New Roman" w:hAnsiTheme="minorHAnsi"/>
                <w:sz w:val="20"/>
                <w:szCs w:val="20"/>
              </w:rPr>
            </w:pPr>
          </w:p>
          <w:p w:rsidR="002E1CD6" w:rsidRPr="00E85BC1" w:rsidRDefault="002E1CD6" w:rsidP="00893E24">
            <w:pPr>
              <w:rPr>
                <w:rFonts w:asciiTheme="minorHAnsi" w:eastAsia="Times New Roman" w:hAnsiTheme="minorHAnsi"/>
                <w:sz w:val="20"/>
                <w:szCs w:val="20"/>
              </w:rPr>
            </w:pPr>
            <w:r w:rsidRPr="00E85BC1">
              <w:rPr>
                <w:rFonts w:asciiTheme="minorHAnsi" w:hAnsiTheme="minorHAnsi"/>
                <w:bCs/>
                <w:color w:val="000000"/>
                <w:sz w:val="20"/>
                <w:szCs w:val="20"/>
              </w:rPr>
              <w:t>Small group learning, where resources are available for postgraduate facilitators, intensifies and fortifies the undergraduate learning experience</w:t>
            </w:r>
          </w:p>
          <w:p w:rsidR="002E1CD6" w:rsidRPr="00E85BC1" w:rsidRDefault="002E1CD6" w:rsidP="00893E24">
            <w:pPr>
              <w:rPr>
                <w:rFonts w:asciiTheme="minorHAnsi" w:eastAsia="Times New Roman" w:hAnsiTheme="minorHAnsi"/>
                <w:sz w:val="20"/>
                <w:szCs w:val="20"/>
              </w:rPr>
            </w:pPr>
          </w:p>
          <w:p w:rsidR="00BE6D07" w:rsidRPr="00E85BC1" w:rsidRDefault="001E3732" w:rsidP="006F2ECE">
            <w:pPr>
              <w:rPr>
                <w:rFonts w:asciiTheme="minorHAnsi" w:eastAsia="Times New Roman" w:hAnsiTheme="minorHAnsi"/>
                <w:sz w:val="20"/>
                <w:szCs w:val="20"/>
              </w:rPr>
            </w:pPr>
            <w:r w:rsidRPr="00E85BC1">
              <w:rPr>
                <w:rFonts w:asciiTheme="minorHAnsi" w:eastAsia="Times New Roman" w:hAnsiTheme="minorHAnsi"/>
                <w:sz w:val="20"/>
                <w:szCs w:val="20"/>
              </w:rPr>
              <w:t>Some third year lecturers are m</w:t>
            </w:r>
            <w:r w:rsidR="00BE6D07" w:rsidRPr="00E85BC1">
              <w:rPr>
                <w:rFonts w:asciiTheme="minorHAnsi" w:eastAsia="Times New Roman" w:hAnsiTheme="minorHAnsi"/>
                <w:sz w:val="20"/>
                <w:szCs w:val="20"/>
              </w:rPr>
              <w:t xml:space="preserve">oving away from </w:t>
            </w:r>
            <w:r w:rsidRPr="00E85BC1">
              <w:rPr>
                <w:rFonts w:asciiTheme="minorHAnsi" w:eastAsia="Times New Roman" w:hAnsiTheme="minorHAnsi"/>
                <w:sz w:val="20"/>
                <w:szCs w:val="20"/>
              </w:rPr>
              <w:t xml:space="preserve">administering three hour </w:t>
            </w:r>
            <w:r w:rsidR="00BE6D07" w:rsidRPr="00E85BC1">
              <w:rPr>
                <w:rFonts w:asciiTheme="minorHAnsi" w:eastAsia="Times New Roman" w:hAnsiTheme="minorHAnsi"/>
                <w:sz w:val="20"/>
                <w:szCs w:val="20"/>
              </w:rPr>
              <w:t xml:space="preserve">final examinations to continuous assessments that allow students </w:t>
            </w:r>
            <w:r w:rsidRPr="00E85BC1">
              <w:rPr>
                <w:rFonts w:asciiTheme="minorHAnsi" w:eastAsia="Times New Roman" w:hAnsiTheme="minorHAnsi"/>
                <w:sz w:val="20"/>
                <w:szCs w:val="20"/>
              </w:rPr>
              <w:t xml:space="preserve">to compile, </w:t>
            </w:r>
            <w:r w:rsidR="00BE6D07" w:rsidRPr="00E85BC1">
              <w:rPr>
                <w:rFonts w:asciiTheme="minorHAnsi" w:eastAsia="Times New Roman" w:hAnsiTheme="minorHAnsi"/>
                <w:sz w:val="20"/>
                <w:szCs w:val="20"/>
              </w:rPr>
              <w:t xml:space="preserve">manage and produce information </w:t>
            </w:r>
            <w:r w:rsidRPr="00E85BC1">
              <w:rPr>
                <w:rFonts w:asciiTheme="minorHAnsi" w:eastAsia="Times New Roman" w:hAnsiTheme="minorHAnsi"/>
                <w:sz w:val="20"/>
                <w:szCs w:val="20"/>
              </w:rPr>
              <w:t xml:space="preserve">and projects </w:t>
            </w:r>
            <w:r w:rsidR="006F2ECE" w:rsidRPr="00E85BC1">
              <w:rPr>
                <w:rFonts w:asciiTheme="minorHAnsi" w:eastAsia="Times New Roman" w:hAnsiTheme="minorHAnsi"/>
                <w:sz w:val="20"/>
                <w:szCs w:val="20"/>
              </w:rPr>
              <w:t xml:space="preserve">that they can retain for future use toward </w:t>
            </w:r>
            <w:r w:rsidR="00BE6D07" w:rsidRPr="00E85BC1">
              <w:rPr>
                <w:rFonts w:asciiTheme="minorHAnsi" w:eastAsia="Times New Roman" w:hAnsiTheme="minorHAnsi"/>
                <w:sz w:val="20"/>
                <w:szCs w:val="20"/>
              </w:rPr>
              <w:t>career development and life-long learning</w:t>
            </w:r>
            <w:r w:rsidRPr="00E85BC1">
              <w:rPr>
                <w:rFonts w:asciiTheme="minorHAnsi" w:eastAsia="Times New Roman" w:hAnsiTheme="minorHAnsi"/>
                <w:sz w:val="20"/>
                <w:szCs w:val="20"/>
              </w:rPr>
              <w:t>.</w:t>
            </w:r>
          </w:p>
        </w:tc>
      </w:tr>
    </w:tbl>
    <w:p w:rsidR="00AD257D" w:rsidRDefault="00AD257D" w:rsidP="00893E24">
      <w:pPr>
        <w:spacing w:line="240" w:lineRule="auto"/>
        <w:rPr>
          <w:rFonts w:ascii="Calibri" w:eastAsia="Times New Roman" w:hAnsi="Calibri" w:cs="Times New Roman"/>
          <w:b/>
          <w:sz w:val="28"/>
          <w:szCs w:val="28"/>
          <w:u w:val="single"/>
          <w:lang w:eastAsia="en-GB"/>
        </w:rPr>
      </w:pPr>
    </w:p>
    <w:sectPr w:rsidR="00AD257D" w:rsidSect="004F7A44">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C77" w:rsidRDefault="00071C77" w:rsidP="006F2ECE">
      <w:pPr>
        <w:spacing w:after="0" w:line="240" w:lineRule="auto"/>
      </w:pPr>
      <w:r>
        <w:separator/>
      </w:r>
    </w:p>
  </w:endnote>
  <w:endnote w:type="continuationSeparator" w:id="0">
    <w:p w:rsidR="00071C77" w:rsidRDefault="00071C77" w:rsidP="006F2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756218"/>
      <w:docPartObj>
        <w:docPartGallery w:val="Page Numbers (Bottom of Page)"/>
        <w:docPartUnique/>
      </w:docPartObj>
    </w:sdtPr>
    <w:sdtEndPr/>
    <w:sdtContent>
      <w:p w:rsidR="006F2ECE" w:rsidRDefault="00927925">
        <w:pPr>
          <w:pStyle w:val="Footer"/>
          <w:jc w:val="right"/>
        </w:pPr>
        <w:r>
          <w:fldChar w:fldCharType="begin"/>
        </w:r>
        <w:r>
          <w:instrText xml:space="preserve"> PAGE   \* MERGEFORMAT </w:instrText>
        </w:r>
        <w:r>
          <w:fldChar w:fldCharType="separate"/>
        </w:r>
        <w:r w:rsidR="0084174D">
          <w:rPr>
            <w:noProof/>
          </w:rPr>
          <w:t>6</w:t>
        </w:r>
        <w:r>
          <w:rPr>
            <w:noProof/>
          </w:rPr>
          <w:fldChar w:fldCharType="end"/>
        </w:r>
      </w:p>
    </w:sdtContent>
  </w:sdt>
  <w:p w:rsidR="006F2ECE" w:rsidRDefault="006F2E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C77" w:rsidRDefault="00071C77" w:rsidP="006F2ECE">
      <w:pPr>
        <w:spacing w:after="0" w:line="240" w:lineRule="auto"/>
      </w:pPr>
      <w:r>
        <w:separator/>
      </w:r>
    </w:p>
  </w:footnote>
  <w:footnote w:type="continuationSeparator" w:id="0">
    <w:p w:rsidR="00071C77" w:rsidRDefault="00071C77" w:rsidP="006F2E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313064"/>
    <w:multiLevelType w:val="hybridMultilevel"/>
    <w:tmpl w:val="3F9C9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953F63"/>
    <w:multiLevelType w:val="hybridMultilevel"/>
    <w:tmpl w:val="0150BC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75031EF"/>
    <w:multiLevelType w:val="hybridMultilevel"/>
    <w:tmpl w:val="6FD2431C"/>
    <w:lvl w:ilvl="0" w:tplc="FB7694BC">
      <w:start w:val="1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065"/>
    <w:rsid w:val="0005662B"/>
    <w:rsid w:val="00057B58"/>
    <w:rsid w:val="00061198"/>
    <w:rsid w:val="00071C77"/>
    <w:rsid w:val="00096DB9"/>
    <w:rsid w:val="000E1DA7"/>
    <w:rsid w:val="000F5148"/>
    <w:rsid w:val="001841F6"/>
    <w:rsid w:val="00192812"/>
    <w:rsid w:val="001A2DB2"/>
    <w:rsid w:val="001E1AEA"/>
    <w:rsid w:val="001E3732"/>
    <w:rsid w:val="00212E81"/>
    <w:rsid w:val="00213656"/>
    <w:rsid w:val="00216798"/>
    <w:rsid w:val="002C4F16"/>
    <w:rsid w:val="002E1CD6"/>
    <w:rsid w:val="00332BCA"/>
    <w:rsid w:val="00335C36"/>
    <w:rsid w:val="00337048"/>
    <w:rsid w:val="003466BB"/>
    <w:rsid w:val="00356F3B"/>
    <w:rsid w:val="003616FE"/>
    <w:rsid w:val="00446711"/>
    <w:rsid w:val="00454E59"/>
    <w:rsid w:val="00486392"/>
    <w:rsid w:val="004C6BB5"/>
    <w:rsid w:val="004F6D1F"/>
    <w:rsid w:val="004F7A44"/>
    <w:rsid w:val="00504EC9"/>
    <w:rsid w:val="00514825"/>
    <w:rsid w:val="0052600D"/>
    <w:rsid w:val="00580459"/>
    <w:rsid w:val="00676EAC"/>
    <w:rsid w:val="00686A1D"/>
    <w:rsid w:val="006F2ECE"/>
    <w:rsid w:val="00814B8F"/>
    <w:rsid w:val="00816F3E"/>
    <w:rsid w:val="0083091E"/>
    <w:rsid w:val="008312C5"/>
    <w:rsid w:val="0084174D"/>
    <w:rsid w:val="00842A09"/>
    <w:rsid w:val="0085188E"/>
    <w:rsid w:val="008716F4"/>
    <w:rsid w:val="00893E24"/>
    <w:rsid w:val="00895E51"/>
    <w:rsid w:val="00896BDA"/>
    <w:rsid w:val="008A4532"/>
    <w:rsid w:val="00921A03"/>
    <w:rsid w:val="00927925"/>
    <w:rsid w:val="00980B1C"/>
    <w:rsid w:val="00992A6C"/>
    <w:rsid w:val="009F0A35"/>
    <w:rsid w:val="00A135A3"/>
    <w:rsid w:val="00A62B0B"/>
    <w:rsid w:val="00A81A36"/>
    <w:rsid w:val="00AD257D"/>
    <w:rsid w:val="00AE017A"/>
    <w:rsid w:val="00AF54DD"/>
    <w:rsid w:val="00B474FD"/>
    <w:rsid w:val="00BA06A6"/>
    <w:rsid w:val="00BB09DE"/>
    <w:rsid w:val="00BB54B1"/>
    <w:rsid w:val="00BB57C9"/>
    <w:rsid w:val="00BE6D07"/>
    <w:rsid w:val="00C460DA"/>
    <w:rsid w:val="00CA346F"/>
    <w:rsid w:val="00CF1B4E"/>
    <w:rsid w:val="00CF2002"/>
    <w:rsid w:val="00D859FC"/>
    <w:rsid w:val="00DF093F"/>
    <w:rsid w:val="00E251F7"/>
    <w:rsid w:val="00E85BC1"/>
    <w:rsid w:val="00EA578D"/>
    <w:rsid w:val="00EF3E7E"/>
    <w:rsid w:val="00F44E0A"/>
    <w:rsid w:val="00FB1F15"/>
    <w:rsid w:val="00FD2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0C8065-DC9F-47B6-BB4F-C05F63C34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A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065"/>
    <w:pPr>
      <w:ind w:left="720"/>
      <w:contextualSpacing/>
    </w:pPr>
  </w:style>
  <w:style w:type="table" w:styleId="TableGrid">
    <w:name w:val="Table Grid"/>
    <w:basedOn w:val="TableNormal"/>
    <w:uiPriority w:val="39"/>
    <w:rsid w:val="00FD2065"/>
    <w:pPr>
      <w:spacing w:after="0" w:line="240" w:lineRule="auto"/>
    </w:pPr>
    <w:rPr>
      <w:rFonts w:ascii="Arial" w:eastAsiaTheme="minorEastAsia" w:hAnsi="Arial" w:cs="Arial"/>
      <w:lang w:val="en-ZA"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6F2E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2ECE"/>
  </w:style>
  <w:style w:type="paragraph" w:styleId="Footer">
    <w:name w:val="footer"/>
    <w:basedOn w:val="Normal"/>
    <w:link w:val="FooterChar"/>
    <w:uiPriority w:val="99"/>
    <w:unhideWhenUsed/>
    <w:rsid w:val="006F2E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E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431</TotalTime>
  <Pages>6</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Tarryn Zank</cp:lastModifiedBy>
  <cp:revision>4</cp:revision>
  <dcterms:created xsi:type="dcterms:W3CDTF">2015-04-27T09:29:00Z</dcterms:created>
  <dcterms:modified xsi:type="dcterms:W3CDTF">2015-04-27T19:10:00Z</dcterms:modified>
</cp:coreProperties>
</file>