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RESPONSE TO CHE QUERY REGARDING </w:t>
      </w:r>
      <w:r w:rsidR="00D429DE">
        <w:rPr>
          <w:rFonts w:asciiTheme="minorHAnsi" w:hAnsiTheme="minorHAnsi"/>
          <w:b/>
          <w:bCs/>
          <w:sz w:val="24"/>
          <w:szCs w:val="24"/>
          <w:lang w:val="en-ZA"/>
        </w:rPr>
        <w:t>Bachelor of Arts Honours in History HUM100</w:t>
      </w:r>
    </w:p>
    <w:p w:rsidR="008B29F0" w:rsidRDefault="008B29F0" w:rsidP="008B29F0">
      <w:pPr>
        <w:rPr>
          <w:rFonts w:ascii="Verdana" w:hAnsi="Verdana"/>
          <w:color w:val="333333"/>
          <w:sz w:val="18"/>
          <w:szCs w:val="18"/>
        </w:rPr>
      </w:pPr>
    </w:p>
    <w:p w:rsidR="008B29F0" w:rsidRPr="008B29F0" w:rsidRDefault="008B29F0" w:rsidP="008B29F0">
      <w:pPr>
        <w:jc w:val="both"/>
        <w:rPr>
          <w:b/>
        </w:rPr>
      </w:pPr>
      <w:r w:rsidRPr="008B29F0">
        <w:rPr>
          <w:b/>
        </w:rPr>
        <w:t>Response to the following comment by CHE:</w:t>
      </w:r>
    </w:p>
    <w:p w:rsidR="008B29F0" w:rsidRDefault="008B29F0" w:rsidP="008B29F0">
      <w:pPr>
        <w:rPr>
          <w:color w:val="000000"/>
          <w:sz w:val="20"/>
          <w:szCs w:val="20"/>
        </w:rPr>
      </w:pPr>
      <w:r>
        <w:rPr>
          <w:rFonts w:ascii="Verdana" w:hAnsi="Verdana"/>
          <w:color w:val="333333"/>
          <w:sz w:val="18"/>
          <w:szCs w:val="18"/>
        </w:rPr>
        <w:t>The institution should revise the time allocated to different types of learning activities. The allocation of 68.75% of the time to WIL do not align with the purpose of the programme and the modules comprising the programme.</w:t>
      </w:r>
    </w:p>
    <w:p w:rsidR="00A27BF9" w:rsidRDefault="00A27BF9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Section 3</w:t>
      </w:r>
      <w:bookmarkStart w:id="0" w:name="_GoBack"/>
      <w:bookmarkEnd w:id="0"/>
    </w:p>
    <w:p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In the table below, indicate the types of learning activities of the amended programme design, and number of hours a student is expected to devote to each type. (This should refer to the table above relating to Programme details) (Criterion 1 vi)</w:t>
      </w:r>
    </w:p>
    <w:p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CA60DA" w:rsidTr="00D278A3">
        <w:tc>
          <w:tcPr>
            <w:tcW w:w="6516" w:type="dxa"/>
          </w:tcPr>
          <w:p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Hours</w:t>
            </w:r>
          </w:p>
        </w:tc>
        <w:tc>
          <w:tcPr>
            <w:tcW w:w="1648" w:type="dxa"/>
          </w:tcPr>
          <w:p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 of learning time</w:t>
            </w:r>
          </w:p>
        </w:tc>
      </w:tr>
      <w:tr w:rsidR="00F97366" w:rsidRPr="00CA60DA" w:rsidTr="00D278A3">
        <w:tc>
          <w:tcPr>
            <w:tcW w:w="6516" w:type="dxa"/>
          </w:tcPr>
          <w:p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Direct contact time (Lectures, face to face, limited interaction or technology assisted, tutorials, Syndicate groups)</w:t>
            </w:r>
          </w:p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:rsidR="00F97366" w:rsidRPr="00F97366" w:rsidRDefault="00D429DE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320</w:t>
            </w:r>
          </w:p>
        </w:tc>
        <w:tc>
          <w:tcPr>
            <w:tcW w:w="1648" w:type="dxa"/>
          </w:tcPr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25%</w:t>
            </w:r>
          </w:p>
        </w:tc>
      </w:tr>
      <w:tr w:rsidR="00F97366" w:rsidRPr="00CA60DA" w:rsidTr="00D278A3">
        <w:tc>
          <w:tcPr>
            <w:tcW w:w="6516" w:type="dxa"/>
          </w:tcPr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(Practical experiential learning, simulated learning, laboratory work, practicals etc. excluding workplace-based learning)</w:t>
            </w:r>
          </w:p>
        </w:tc>
        <w:tc>
          <w:tcPr>
            <w:tcW w:w="852" w:type="dxa"/>
          </w:tcPr>
          <w:p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:rsidTr="00D278A3">
        <w:tc>
          <w:tcPr>
            <w:tcW w:w="6516" w:type="dxa"/>
          </w:tcPr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:rsidTr="00D278A3">
        <w:tc>
          <w:tcPr>
            <w:tcW w:w="6516" w:type="dxa"/>
          </w:tcPr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:rsidR="00F97366" w:rsidRPr="00F97366" w:rsidRDefault="005C79F4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928</w:t>
            </w:r>
          </w:p>
        </w:tc>
        <w:tc>
          <w:tcPr>
            <w:tcW w:w="1648" w:type="dxa"/>
          </w:tcPr>
          <w:p w:rsidR="00F97366" w:rsidRPr="00CA60DA" w:rsidRDefault="005C79F4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72.5%</w:t>
            </w:r>
          </w:p>
        </w:tc>
      </w:tr>
      <w:tr w:rsidR="00F97366" w:rsidRPr="00CA60DA" w:rsidTr="00D278A3">
        <w:tc>
          <w:tcPr>
            <w:tcW w:w="6516" w:type="dxa"/>
          </w:tcPr>
          <w:p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Assessment</w:t>
            </w:r>
          </w:p>
        </w:tc>
        <w:tc>
          <w:tcPr>
            <w:tcW w:w="852" w:type="dxa"/>
          </w:tcPr>
          <w:p w:rsidR="00F97366" w:rsidRPr="00F97366" w:rsidRDefault="005C79F4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32</w:t>
            </w:r>
          </w:p>
        </w:tc>
        <w:tc>
          <w:tcPr>
            <w:tcW w:w="1648" w:type="dxa"/>
          </w:tcPr>
          <w:p w:rsidR="00F97366" w:rsidRPr="00CA60DA" w:rsidRDefault="005C79F4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2.5%</w:t>
            </w:r>
          </w:p>
        </w:tc>
      </w:tr>
      <w:tr w:rsidR="00F97366" w:rsidRPr="00CA60DA" w:rsidTr="00D278A3">
        <w:tc>
          <w:tcPr>
            <w:tcW w:w="6516" w:type="dxa"/>
          </w:tcPr>
          <w:p w:rsid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Other (specify)</w:t>
            </w:r>
          </w:p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:rsidTr="00D278A3">
        <w:tc>
          <w:tcPr>
            <w:tcW w:w="6516" w:type="dxa"/>
          </w:tcPr>
          <w:p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Total</w:t>
            </w:r>
          </w:p>
        </w:tc>
        <w:tc>
          <w:tcPr>
            <w:tcW w:w="852" w:type="dxa"/>
          </w:tcPr>
          <w:p w:rsidR="00F97366" w:rsidRPr="00F97366" w:rsidRDefault="00D429DE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1280</w:t>
            </w:r>
          </w:p>
        </w:tc>
        <w:tc>
          <w:tcPr>
            <w:tcW w:w="1648" w:type="dxa"/>
          </w:tcPr>
          <w:p w:rsidR="00F97366" w:rsidRPr="00CA60DA" w:rsidRDefault="00F97366" w:rsidP="0018762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100%</w:t>
            </w:r>
          </w:p>
        </w:tc>
      </w:tr>
    </w:tbl>
    <w:p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</w:p>
    <w:sectPr w:rsidR="00FC7956" w:rsidRPr="00CA60DA" w:rsidSect="00B9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33" w:rsidRDefault="00617833" w:rsidP="00FC7956">
      <w:r>
        <w:separator/>
      </w:r>
    </w:p>
  </w:endnote>
  <w:endnote w:type="continuationSeparator" w:id="0">
    <w:p w:rsidR="00617833" w:rsidRDefault="00617833" w:rsidP="00F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33" w:rsidRDefault="00617833" w:rsidP="00FC7956">
      <w:r>
        <w:separator/>
      </w:r>
    </w:p>
  </w:footnote>
  <w:footnote w:type="continuationSeparator" w:id="0">
    <w:p w:rsidR="00617833" w:rsidRDefault="00617833" w:rsidP="00FC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87625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5255CC"/>
    <w:rsid w:val="005361E2"/>
    <w:rsid w:val="00544C44"/>
    <w:rsid w:val="005460E6"/>
    <w:rsid w:val="005644E1"/>
    <w:rsid w:val="005A10FE"/>
    <w:rsid w:val="005A5F2D"/>
    <w:rsid w:val="005A7F26"/>
    <w:rsid w:val="005C431F"/>
    <w:rsid w:val="005C79F4"/>
    <w:rsid w:val="005E3A4C"/>
    <w:rsid w:val="005F4AEC"/>
    <w:rsid w:val="00606645"/>
    <w:rsid w:val="00606E12"/>
    <w:rsid w:val="006166D6"/>
    <w:rsid w:val="00617833"/>
    <w:rsid w:val="006565F5"/>
    <w:rsid w:val="006572AE"/>
    <w:rsid w:val="00657905"/>
    <w:rsid w:val="006B7622"/>
    <w:rsid w:val="006B76BA"/>
    <w:rsid w:val="006C2DE9"/>
    <w:rsid w:val="006D322F"/>
    <w:rsid w:val="006F055B"/>
    <w:rsid w:val="006F5AB6"/>
    <w:rsid w:val="00703E81"/>
    <w:rsid w:val="007262F7"/>
    <w:rsid w:val="0072705E"/>
    <w:rsid w:val="00736F9D"/>
    <w:rsid w:val="007908A5"/>
    <w:rsid w:val="007F109A"/>
    <w:rsid w:val="007F770D"/>
    <w:rsid w:val="00824908"/>
    <w:rsid w:val="00826AE4"/>
    <w:rsid w:val="00827A66"/>
    <w:rsid w:val="00844155"/>
    <w:rsid w:val="00847B10"/>
    <w:rsid w:val="00862167"/>
    <w:rsid w:val="00864886"/>
    <w:rsid w:val="00881C03"/>
    <w:rsid w:val="008931E4"/>
    <w:rsid w:val="008B29F0"/>
    <w:rsid w:val="008B7321"/>
    <w:rsid w:val="009073B5"/>
    <w:rsid w:val="0097795F"/>
    <w:rsid w:val="0098415E"/>
    <w:rsid w:val="009C55A3"/>
    <w:rsid w:val="009E3A4C"/>
    <w:rsid w:val="00A10A78"/>
    <w:rsid w:val="00A23A12"/>
    <w:rsid w:val="00A27BF9"/>
    <w:rsid w:val="00A32BBA"/>
    <w:rsid w:val="00A51CE5"/>
    <w:rsid w:val="00A65C59"/>
    <w:rsid w:val="00A83492"/>
    <w:rsid w:val="00AB506D"/>
    <w:rsid w:val="00AC31C2"/>
    <w:rsid w:val="00AD7D56"/>
    <w:rsid w:val="00AE013B"/>
    <w:rsid w:val="00AF0A1B"/>
    <w:rsid w:val="00B11D2B"/>
    <w:rsid w:val="00B365E4"/>
    <w:rsid w:val="00B6383E"/>
    <w:rsid w:val="00B714B9"/>
    <w:rsid w:val="00B90CE5"/>
    <w:rsid w:val="00B923F4"/>
    <w:rsid w:val="00BA4A6F"/>
    <w:rsid w:val="00BB0B68"/>
    <w:rsid w:val="00BB0E98"/>
    <w:rsid w:val="00BC285F"/>
    <w:rsid w:val="00BC377E"/>
    <w:rsid w:val="00BE043E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A60DA"/>
    <w:rsid w:val="00CB0E85"/>
    <w:rsid w:val="00CF3A49"/>
    <w:rsid w:val="00D10F83"/>
    <w:rsid w:val="00D201F4"/>
    <w:rsid w:val="00D21E0A"/>
    <w:rsid w:val="00D2532E"/>
    <w:rsid w:val="00D27823"/>
    <w:rsid w:val="00D278A3"/>
    <w:rsid w:val="00D429DE"/>
    <w:rsid w:val="00D5491F"/>
    <w:rsid w:val="00D62CA5"/>
    <w:rsid w:val="00D83817"/>
    <w:rsid w:val="00D94258"/>
    <w:rsid w:val="00DB581D"/>
    <w:rsid w:val="00DC2FA6"/>
    <w:rsid w:val="00DD26D2"/>
    <w:rsid w:val="00DD47BF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63B70"/>
    <w:rsid w:val="00F97366"/>
    <w:rsid w:val="00FB0CCE"/>
    <w:rsid w:val="00FC1EF9"/>
    <w:rsid w:val="00FC321C"/>
    <w:rsid w:val="00FC7956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0C1BBEB-9820-4ECC-9D51-B282A2BF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C795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7956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C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C788-8F36-4E91-84B1-216D1A8B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Tarryn Zank</dc:creator>
  <cp:lastModifiedBy>Tarryn Zank</cp:lastModifiedBy>
  <cp:revision>3</cp:revision>
  <dcterms:created xsi:type="dcterms:W3CDTF">2015-04-27T09:23:00Z</dcterms:created>
  <dcterms:modified xsi:type="dcterms:W3CDTF">2015-04-27T09:25:00Z</dcterms:modified>
</cp:coreProperties>
</file>