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A3" w:rsidRDefault="00E048A3" w:rsidP="00E048A3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r>
        <w:rPr>
          <w:rFonts w:asciiTheme="minorBidi" w:hAnsiTheme="minorBidi"/>
          <w:sz w:val="24"/>
          <w:szCs w:val="24"/>
        </w:rPr>
        <w:t xml:space="preserve">CHE Improvement: </w:t>
      </w:r>
      <w:r w:rsidRPr="00E048A3">
        <w:rPr>
          <w:rFonts w:asciiTheme="minorBidi" w:eastAsia="Times New Roman" w:hAnsiTheme="minorBidi"/>
          <w:b/>
          <w:bCs/>
          <w:color w:val="333333"/>
          <w:sz w:val="24"/>
          <w:szCs w:val="24"/>
          <w:lang w:eastAsia="en-ZA"/>
        </w:rPr>
        <w:t>Doctor of Commerce (09547)</w:t>
      </w:r>
      <w:r w:rsidRPr="00E048A3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</w:t>
      </w:r>
    </w:p>
    <w:p w:rsidR="00720A73" w:rsidRPr="00253E66" w:rsidRDefault="00311DCB" w:rsidP="00253E66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</w:pPr>
      <w:r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The Institution should consider c</w:t>
      </w:r>
      <w:r w:rsidR="00253E66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ombining the r</w:t>
      </w:r>
      <w:r w:rsidR="00E048A3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 xml:space="preserve">esearch </w:t>
      </w:r>
      <w:r w:rsidR="00253E66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p</w:t>
      </w:r>
      <w:r w:rsidR="00E048A3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 xml:space="preserve">roposal and the </w:t>
      </w:r>
      <w:r w:rsidR="00253E66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t</w:t>
      </w:r>
      <w:r w:rsidR="00E048A3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hesis</w:t>
      </w:r>
      <w:r w:rsidR="00253E66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 xml:space="preserve"> as one modules of 360 credits instead of separating them</w:t>
      </w:r>
      <w:r w:rsidR="00E048A3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:</w:t>
      </w:r>
      <w:r w:rsidR="001E35EB"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 xml:space="preserve"> </w:t>
      </w:r>
    </w:p>
    <w:p w:rsidR="00311DCB" w:rsidRDefault="00311DCB" w:rsidP="00C01371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bookmarkStart w:id="0" w:name="_GoBack"/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According to the </w:t>
      </w:r>
      <w:proofErr w:type="spellStart"/>
      <w:r w:rsidR="00253E66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Unisa</w:t>
      </w:r>
      <w:proofErr w:type="spellEnd"/>
      <w:r w:rsidR="00253E66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</w:t>
      </w:r>
      <w:r w:rsidRPr="00311DCB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PROPOSAL FOR THE STRUCTURE AND DELIVERY OF POSTGRADUATE QUALIFICATIONS</w:t>
      </w: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(</w:t>
      </w:r>
      <w:r w:rsidR="00C01371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approved by Senate 27 August 2008</w:t>
      </w: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):</w:t>
      </w:r>
    </w:p>
    <w:p w:rsidR="00311DCB" w:rsidRPr="00311DCB" w:rsidRDefault="00311DCB" w:rsidP="00311DCB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‘</w:t>
      </w:r>
      <w:r w:rsidRPr="00311DCB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The outcome of the module will be an acceptable research proposal </w:t>
      </w:r>
      <w:r w:rsidR="00BB13C8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(24 credits) </w:t>
      </w:r>
      <w:r w:rsidRPr="00311DCB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and is considered to be a research module since the research proposal is completed under supervision. The purpose of the module is primarily to guide students in a formalized manner to prepare an acceptable research proposal. The module will also be a prerequisite for allowing the student to register for the dissertation</w:t>
      </w:r>
      <w:r w:rsidR="00BB13C8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(156 credits)</w:t>
      </w:r>
      <w:r w:rsidRPr="00311DCB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or thesis</w:t>
      </w:r>
      <w:r w:rsidR="00BB13C8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(336 credits)</w:t>
      </w:r>
      <w:r w:rsidRPr="00311DCB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.</w:t>
      </w: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’</w:t>
      </w:r>
    </w:p>
    <w:p w:rsidR="00311DCB" w:rsidRDefault="00311DCB" w:rsidP="00311DCB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proofErr w:type="spellStart"/>
      <w:r w:rsidRPr="00311DCB">
        <w:rPr>
          <w:rFonts w:asciiTheme="minorBidi" w:eastAsia="Times New Roman" w:hAnsiTheme="minorBidi"/>
          <w:b/>
          <w:bCs/>
          <w:color w:val="333333"/>
          <w:sz w:val="24"/>
          <w:szCs w:val="24"/>
          <w:lang w:eastAsia="en-ZA"/>
        </w:rPr>
        <w:t>Unisa</w:t>
      </w:r>
      <w:proofErr w:type="spellEnd"/>
      <w:r w:rsidRPr="00311DCB">
        <w:rPr>
          <w:rFonts w:asciiTheme="minorBidi" w:eastAsia="Times New Roman" w:hAnsiTheme="minorBidi"/>
          <w:b/>
          <w:bCs/>
          <w:color w:val="333333"/>
          <w:sz w:val="24"/>
          <w:szCs w:val="24"/>
          <w:lang w:eastAsia="en-ZA"/>
        </w:rPr>
        <w:t xml:space="preserve"> Senate approval 2 June 2010</w:t>
      </w: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:</w:t>
      </w:r>
      <w:r w:rsidRPr="00311DCB">
        <w:t xml:space="preserve"> </w:t>
      </w:r>
      <w:r w:rsidRPr="00311DCB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The purpose of making the modules on research proposal writing a prerequisite is to ensure that the student does not proceed with the dissertation or thesis before she or he has completed the research proposal.</w:t>
      </w: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</w:t>
      </w:r>
    </w:p>
    <w:p w:rsidR="00720A73" w:rsidRDefault="001E35EB" w:rsidP="00311DCB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proofErr w:type="spellStart"/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Unisa</w:t>
      </w:r>
      <w:proofErr w:type="spellEnd"/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considers the research proposal as an integral part of the total research component of the doctoral qualification. </w:t>
      </w:r>
    </w:p>
    <w:p w:rsidR="00E048A3" w:rsidRDefault="001E35EB" w:rsidP="00605EC4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  </w:t>
      </w:r>
    </w:p>
    <w:bookmarkEnd w:id="0"/>
    <w:p w:rsidR="00E048A3" w:rsidRPr="00253E66" w:rsidRDefault="00253E66" w:rsidP="00253E66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</w:pPr>
      <w:r w:rsidRPr="00253E66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The number of allocated hours should add up to 3600 and is currently on 100:</w:t>
      </w:r>
    </w:p>
    <w:p w:rsidR="00E048A3" w:rsidRDefault="00E048A3" w:rsidP="00E048A3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Type of Learning Activity:</w:t>
      </w: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9"/>
        <w:gridCol w:w="1074"/>
        <w:gridCol w:w="863"/>
      </w:tblGrid>
      <w:tr w:rsidR="00E048A3" w:rsidRPr="00E048A3" w:rsidTr="00E04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Type of learning activity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Hours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% of learning time</w:t>
            </w:r>
          </w:p>
        </w:tc>
      </w:tr>
      <w:tr w:rsidR="00E048A3" w:rsidRPr="00E048A3" w:rsidTr="00E048A3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Direct contact time (Lectures, face to face, limited interaction or technology-assisted, tutorials, Syndicate groups)</w:t>
            </w:r>
          </w:p>
        </w:tc>
        <w:tc>
          <w:tcPr>
            <w:tcW w:w="587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  <w:r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E048A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1080</w:t>
            </w:r>
          </w:p>
        </w:tc>
        <w:tc>
          <w:tcPr>
            <w:tcW w:w="472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30</w:t>
            </w:r>
          </w:p>
        </w:tc>
      </w:tr>
      <w:tr w:rsidR="00E048A3" w:rsidRPr="00E048A3" w:rsidTr="00E048A3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WIL (Practical experiential learning, simulated learning, laboratory work , </w:t>
            </w:r>
            <w:proofErr w:type="spellStart"/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practicals</w:t>
            </w:r>
            <w:proofErr w:type="spellEnd"/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etc</w:t>
            </w:r>
            <w:proofErr w:type="spellEnd"/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excluding workplace-based learning)</w:t>
            </w:r>
          </w:p>
        </w:tc>
        <w:tc>
          <w:tcPr>
            <w:tcW w:w="587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472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</w:p>
        </w:tc>
      </w:tr>
      <w:tr w:rsidR="00E048A3" w:rsidRPr="00E048A3" w:rsidTr="00E048A3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WIL (Workplace-based learning only) *</w:t>
            </w:r>
          </w:p>
        </w:tc>
        <w:tc>
          <w:tcPr>
            <w:tcW w:w="587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472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E048A3" w:rsidRPr="00E048A3" w:rsidTr="00E048A3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587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50</w:t>
            </w:r>
            <w:r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E048A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1800</w:t>
            </w:r>
          </w:p>
        </w:tc>
        <w:tc>
          <w:tcPr>
            <w:tcW w:w="472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50</w:t>
            </w:r>
          </w:p>
        </w:tc>
      </w:tr>
      <w:tr w:rsidR="00E048A3" w:rsidRPr="00E048A3" w:rsidTr="00E048A3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Assessment</w:t>
            </w:r>
          </w:p>
        </w:tc>
        <w:tc>
          <w:tcPr>
            <w:tcW w:w="587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20</w:t>
            </w:r>
            <w:r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E048A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720</w:t>
            </w:r>
          </w:p>
        </w:tc>
        <w:tc>
          <w:tcPr>
            <w:tcW w:w="472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20</w:t>
            </w:r>
          </w:p>
        </w:tc>
      </w:tr>
      <w:tr w:rsidR="00E048A3" w:rsidRPr="00E048A3" w:rsidTr="00E048A3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Other (specify)</w:t>
            </w:r>
          </w:p>
        </w:tc>
        <w:tc>
          <w:tcPr>
            <w:tcW w:w="587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472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E048A3" w:rsidRPr="00E048A3" w:rsidTr="00E048A3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lastRenderedPageBreak/>
              <w:t>Total</w:t>
            </w:r>
          </w:p>
        </w:tc>
        <w:tc>
          <w:tcPr>
            <w:tcW w:w="587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100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E048A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3600</w:t>
            </w:r>
          </w:p>
        </w:tc>
        <w:tc>
          <w:tcPr>
            <w:tcW w:w="472" w:type="pct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8A3" w:rsidRPr="00E048A3" w:rsidRDefault="00E048A3" w:rsidP="00E048A3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048A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100%</w:t>
            </w:r>
          </w:p>
        </w:tc>
      </w:tr>
    </w:tbl>
    <w:p w:rsidR="00E048A3" w:rsidRPr="00E048A3" w:rsidRDefault="00E048A3" w:rsidP="00E048A3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</w:p>
    <w:p w:rsidR="00E048A3" w:rsidRPr="00E048A3" w:rsidRDefault="00E048A3">
      <w:pPr>
        <w:rPr>
          <w:rFonts w:asciiTheme="minorBidi" w:hAnsiTheme="minorBidi"/>
        </w:rPr>
      </w:pPr>
    </w:p>
    <w:p w:rsidR="00E048A3" w:rsidRPr="00E048A3" w:rsidRDefault="00E048A3">
      <w:pPr>
        <w:rPr>
          <w:rFonts w:asciiTheme="minorBidi" w:hAnsiTheme="minorBidi"/>
        </w:rPr>
      </w:pPr>
    </w:p>
    <w:sectPr w:rsidR="00E048A3" w:rsidRPr="00E0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C505F"/>
    <w:multiLevelType w:val="hybridMultilevel"/>
    <w:tmpl w:val="BB10F6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3"/>
    <w:rsid w:val="001E35EB"/>
    <w:rsid w:val="00253E66"/>
    <w:rsid w:val="00311DCB"/>
    <w:rsid w:val="00605EC4"/>
    <w:rsid w:val="00720A73"/>
    <w:rsid w:val="0084397E"/>
    <w:rsid w:val="00BB13C8"/>
    <w:rsid w:val="00C01371"/>
    <w:rsid w:val="00E048A3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057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367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8087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234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633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3481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9</cp:revision>
  <dcterms:created xsi:type="dcterms:W3CDTF">2015-03-26T07:24:00Z</dcterms:created>
  <dcterms:modified xsi:type="dcterms:W3CDTF">2015-04-01T11:28:00Z</dcterms:modified>
</cp:coreProperties>
</file>