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F15" w:rsidRDefault="00FF5DC9" w:rsidP="00FF5DC9">
      <w:r>
        <w:t xml:space="preserve">CHE Improvement: </w:t>
      </w:r>
      <w:r w:rsidRPr="00FF5DC9">
        <w:t>Bachelor of Commerce in Economics (98305)</w:t>
      </w:r>
    </w:p>
    <w:p w:rsidR="007D57F6" w:rsidRDefault="007D57F6" w:rsidP="007D57F6">
      <w:pPr>
        <w:pStyle w:val="ListParagraph"/>
        <w:numPr>
          <w:ilvl w:val="0"/>
          <w:numId w:val="1"/>
        </w:numPr>
        <w:rPr>
          <w:b/>
          <w:bCs/>
          <w:i/>
          <w:iCs/>
        </w:rPr>
      </w:pPr>
      <w:r w:rsidRPr="007D57F6">
        <w:rPr>
          <w:b/>
          <w:bCs/>
          <w:i/>
          <w:iCs/>
        </w:rPr>
        <w:t>The institution has specified that the qualification has 360 credits. However, the outline of the curriculum indicates 312 compulsory credits and 34 credits for electives. This does not add up to 360 credits. As this is a single qualification the institution should also be more specific about the proportion of formative and summative assessments.</w:t>
      </w:r>
    </w:p>
    <w:p w:rsidR="003318E7" w:rsidRDefault="003318E7" w:rsidP="003318E7">
      <w:r>
        <w:t>The curriculum includes 28 compulsory modules (total of 336 credits) and 2 elective modules (total of 24 credits). These add up to 360 credits for the qualification.</w:t>
      </w:r>
    </w:p>
    <w:p w:rsidR="003318E7" w:rsidRDefault="003318E7" w:rsidP="003318E7">
      <w:r>
        <w:t>NQF level 5: 9 Compulsory modules + 1 elective module</w:t>
      </w:r>
    </w:p>
    <w:p w:rsidR="003318E7" w:rsidRDefault="003318E7" w:rsidP="003318E7">
      <w:r>
        <w:t>NQF level 6: 9 Compulsory modules + 1 elective module</w:t>
      </w:r>
    </w:p>
    <w:p w:rsidR="003318E7" w:rsidRPr="003318E7" w:rsidRDefault="003318E7" w:rsidP="003318E7">
      <w:r>
        <w:t>NQF level 7: 10 Compulsory modules</w:t>
      </w:r>
      <w:bookmarkStart w:id="0" w:name="_GoBack"/>
      <w:bookmarkEnd w:id="0"/>
    </w:p>
    <w:tbl>
      <w:tblPr>
        <w:tblW w:w="5000" w:type="pct"/>
        <w:shd w:val="clear" w:color="auto" w:fill="FFFFFF"/>
        <w:tblCellMar>
          <w:left w:w="0" w:type="dxa"/>
          <w:right w:w="0" w:type="dxa"/>
        </w:tblCellMar>
        <w:tblLook w:val="04A0" w:firstRow="1" w:lastRow="0" w:firstColumn="1" w:lastColumn="0" w:noHBand="0" w:noVBand="1"/>
      </w:tblPr>
      <w:tblGrid>
        <w:gridCol w:w="3672"/>
        <w:gridCol w:w="732"/>
        <w:gridCol w:w="756"/>
        <w:gridCol w:w="654"/>
        <w:gridCol w:w="1824"/>
        <w:gridCol w:w="1508"/>
      </w:tblGrid>
      <w:tr w:rsidR="00271DCF" w:rsidRPr="00271DCF" w:rsidTr="00271DCF">
        <w:trPr>
          <w:tblHeader/>
        </w:trPr>
        <w:tc>
          <w:tcPr>
            <w:tcW w:w="0" w:type="auto"/>
            <w:gridSpan w:val="6"/>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b/>
                <w:bCs/>
                <w:color w:val="FFFFFF"/>
                <w:sz w:val="26"/>
                <w:szCs w:val="26"/>
                <w:lang w:eastAsia="en-ZA"/>
              </w:rPr>
            </w:pPr>
            <w:r w:rsidRPr="00271DCF">
              <w:rPr>
                <w:rFonts w:ascii="Verdana" w:eastAsia="Calibri" w:hAnsi="Verdana" w:cs="Times New Roman"/>
                <w:b/>
                <w:bCs/>
                <w:color w:val="FFFFFF"/>
                <w:sz w:val="26"/>
                <w:szCs w:val="26"/>
                <w:lang w:eastAsia="en-ZA"/>
              </w:rPr>
              <w:t>Programme design details</w:t>
            </w:r>
          </w:p>
        </w:tc>
      </w:tr>
      <w:tr w:rsidR="00271DCF" w:rsidRPr="00271DCF" w:rsidTr="00271DCF">
        <w:tc>
          <w:tcPr>
            <w:tcW w:w="0" w:type="auto"/>
            <w:gridSpan w:val="6"/>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b/>
                <w:bCs/>
                <w:color w:val="FFFFFF"/>
                <w:sz w:val="18"/>
                <w:szCs w:val="18"/>
                <w:lang w:eastAsia="en-ZA"/>
              </w:rPr>
            </w:pPr>
            <w:r w:rsidRPr="00271DCF">
              <w:rPr>
                <w:rFonts w:ascii="Verdana" w:eastAsia="Calibri" w:hAnsi="Verdana" w:cs="Times New Roman"/>
                <w:b/>
                <w:bCs/>
                <w:color w:val="FFFFFF"/>
                <w:sz w:val="18"/>
                <w:szCs w:val="18"/>
                <w:lang w:eastAsia="en-ZA"/>
              </w:rPr>
              <w:t>Modules for year 1</w:t>
            </w:r>
          </w:p>
        </w:tc>
      </w:tr>
      <w:tr w:rsidR="00271DCF" w:rsidRPr="00271DCF" w:rsidTr="00271DCF">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Module</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NQF level</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Credits</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Year level</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Compulsory</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Electives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INTRODUCTION TO BUSINESS INFORMATION SYSTEMS </w:t>
            </w:r>
            <w:r w:rsidRPr="00271DCF">
              <w:rPr>
                <w:rFonts w:ascii="Verdana" w:eastAsia="Calibri" w:hAnsi="Verdana" w:cs="Times New Roman"/>
                <w:b/>
                <w:bCs/>
                <w:color w:val="333333"/>
                <w:sz w:val="18"/>
                <w:szCs w:val="18"/>
                <w:lang w:eastAsia="en-ZA"/>
              </w:rPr>
              <w:t>(INF1505)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ENGLISH FOR ACADEMIC PURPOSES </w:t>
            </w:r>
            <w:r w:rsidRPr="00271DCF">
              <w:rPr>
                <w:rFonts w:ascii="Verdana" w:eastAsia="Calibri" w:hAnsi="Verdana" w:cs="Times New Roman"/>
                <w:b/>
                <w:bCs/>
                <w:color w:val="333333"/>
                <w:sz w:val="18"/>
                <w:szCs w:val="18"/>
                <w:lang w:eastAsia="en-ZA"/>
              </w:rPr>
              <w:t>(ENN103F)</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AFRIKAANS TODAY (LITERATURE) </w:t>
            </w:r>
            <w:r w:rsidRPr="00271DCF">
              <w:rPr>
                <w:rFonts w:ascii="Verdana" w:eastAsia="Calibri" w:hAnsi="Verdana" w:cs="Times New Roman"/>
                <w:b/>
                <w:bCs/>
                <w:color w:val="333333"/>
                <w:sz w:val="18"/>
                <w:szCs w:val="18"/>
                <w:lang w:eastAsia="en-ZA"/>
              </w:rPr>
              <w:t>(AFK1501)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PRACTISING WORKPLACE ENGLISH </w:t>
            </w:r>
            <w:r w:rsidRPr="00271DCF">
              <w:rPr>
                <w:rFonts w:ascii="Verdana" w:eastAsia="Calibri" w:hAnsi="Verdana" w:cs="Times New Roman"/>
                <w:b/>
                <w:bCs/>
                <w:color w:val="333333"/>
                <w:sz w:val="18"/>
                <w:szCs w:val="18"/>
                <w:lang w:eastAsia="en-ZA"/>
              </w:rPr>
              <w:t>(ENN1504)</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BASIC TEXT SKILLS (AFRIKAANS) </w:t>
            </w:r>
            <w:r w:rsidRPr="00271DCF">
              <w:rPr>
                <w:rFonts w:ascii="Verdana" w:eastAsia="Calibri" w:hAnsi="Verdana" w:cs="Times New Roman"/>
                <w:b/>
                <w:bCs/>
                <w:color w:val="333333"/>
                <w:sz w:val="18"/>
                <w:szCs w:val="18"/>
                <w:lang w:eastAsia="en-ZA"/>
              </w:rPr>
              <w:t>(AFK1502)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INTRODUCTION TO AUDITING </w:t>
            </w:r>
            <w:r w:rsidRPr="00271DCF">
              <w:rPr>
                <w:rFonts w:ascii="Verdana" w:eastAsia="Calibri" w:hAnsi="Verdana" w:cs="Times New Roman"/>
                <w:b/>
                <w:bCs/>
                <w:color w:val="333333"/>
                <w:sz w:val="18"/>
                <w:szCs w:val="18"/>
                <w:lang w:eastAsia="en-ZA"/>
              </w:rPr>
              <w:t>(AUE1501)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MATHEMATICAL MODELLING I </w:t>
            </w:r>
            <w:r w:rsidRPr="00271DCF">
              <w:rPr>
                <w:rFonts w:ascii="Verdana" w:eastAsia="Calibri" w:hAnsi="Verdana" w:cs="Times New Roman"/>
                <w:b/>
                <w:bCs/>
                <w:color w:val="333333"/>
                <w:sz w:val="18"/>
                <w:szCs w:val="18"/>
                <w:lang w:eastAsia="en-ZA"/>
              </w:rPr>
              <w:t>(DSC1620)</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r w:rsidRPr="00271DCF">
              <w:rPr>
                <w:rFonts w:ascii="Verdana" w:eastAsia="Calibri" w:hAnsi="Verdana" w:cs="Times New Roman"/>
                <w:color w:val="1F497D"/>
                <w:sz w:val="18"/>
                <w:szCs w:val="18"/>
                <w:lang w:eastAsia="en-ZA"/>
              </w:rPr>
              <w:t xml:space="preserve"> </w:t>
            </w:r>
            <w:r w:rsidRPr="00271DCF">
              <w:rPr>
                <w:rFonts w:ascii="Verdana" w:eastAsia="Calibri" w:hAnsi="Verdana" w:cs="Times New Roman"/>
                <w:color w:val="1F497D"/>
                <w:sz w:val="18"/>
                <w:szCs w:val="18"/>
                <w:highlight w:val="yellow"/>
                <w:lang w:eastAsia="en-ZA"/>
              </w:rPr>
              <w:t>(1 from 2)</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QUANTITATIVE MODELLING I </w:t>
            </w:r>
            <w:r w:rsidRPr="00271DCF">
              <w:rPr>
                <w:rFonts w:ascii="Verdana" w:eastAsia="Calibri" w:hAnsi="Verdana" w:cs="Times New Roman"/>
                <w:b/>
                <w:bCs/>
                <w:color w:val="333333"/>
                <w:sz w:val="18"/>
                <w:szCs w:val="18"/>
                <w:lang w:eastAsia="en-ZA"/>
              </w:rPr>
              <w:t>(DSC1520)</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r w:rsidRPr="00271DCF">
              <w:rPr>
                <w:rFonts w:ascii="Verdana" w:eastAsia="Calibri" w:hAnsi="Verdana" w:cs="Times New Roman"/>
                <w:color w:val="1F497D"/>
                <w:sz w:val="18"/>
                <w:szCs w:val="18"/>
                <w:lang w:eastAsia="en-ZA"/>
              </w:rPr>
              <w:t xml:space="preserve"> </w:t>
            </w:r>
            <w:r w:rsidRPr="00271DCF">
              <w:rPr>
                <w:rFonts w:ascii="Verdana" w:eastAsia="Calibri" w:hAnsi="Verdana" w:cs="Times New Roman"/>
                <w:color w:val="1F497D"/>
                <w:sz w:val="18"/>
                <w:szCs w:val="18"/>
                <w:highlight w:val="yellow"/>
                <w:lang w:eastAsia="en-ZA"/>
              </w:rPr>
              <w:t>(1 from 2)</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TAXATION OF SALARIED PERSONS </w:t>
            </w:r>
            <w:r w:rsidRPr="00271DCF">
              <w:rPr>
                <w:rFonts w:ascii="Verdana" w:eastAsia="Calibri" w:hAnsi="Verdana" w:cs="Times New Roman"/>
                <w:b/>
                <w:bCs/>
                <w:color w:val="333333"/>
                <w:sz w:val="18"/>
                <w:szCs w:val="18"/>
                <w:lang w:eastAsia="en-ZA"/>
              </w:rPr>
              <w:t>(TAX1501)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ACCOUNTING INFORMATION SYSTEMS IN A COMPUTER ENVIRONMENT </w:t>
            </w:r>
            <w:r w:rsidRPr="00271DCF">
              <w:rPr>
                <w:rFonts w:ascii="Verdana" w:eastAsia="Calibri" w:hAnsi="Verdana" w:cs="Times New Roman"/>
                <w:b/>
                <w:bCs/>
                <w:color w:val="333333"/>
                <w:sz w:val="18"/>
                <w:szCs w:val="18"/>
                <w:lang w:eastAsia="en-ZA"/>
              </w:rPr>
              <w:t>(AIN1501)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ELEMENTARY QUANTITATIVE METHODS </w:t>
            </w:r>
            <w:r w:rsidRPr="00271DCF">
              <w:rPr>
                <w:rFonts w:ascii="Verdana" w:eastAsia="Calibri" w:hAnsi="Verdana" w:cs="Times New Roman"/>
                <w:b/>
                <w:bCs/>
                <w:color w:val="333333"/>
                <w:sz w:val="18"/>
                <w:szCs w:val="18"/>
                <w:lang w:eastAsia="en-ZA"/>
              </w:rPr>
              <w:t>(QMI1500)</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lastRenderedPageBreak/>
              <w:t xml:space="preserve">BASIC STATISTICS </w:t>
            </w:r>
            <w:r w:rsidRPr="00271DCF">
              <w:rPr>
                <w:rFonts w:ascii="Verdana" w:eastAsia="Calibri" w:hAnsi="Verdana" w:cs="Times New Roman"/>
                <w:b/>
                <w:bCs/>
                <w:color w:val="333333"/>
                <w:sz w:val="18"/>
                <w:szCs w:val="18"/>
                <w:lang w:eastAsia="en-ZA"/>
              </w:rPr>
              <w:t>(STA1510)</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BUSINESS MANAGEMENT IB </w:t>
            </w:r>
            <w:r w:rsidRPr="00271DCF">
              <w:rPr>
                <w:rFonts w:ascii="Verdana" w:eastAsia="Calibri" w:hAnsi="Verdana" w:cs="Times New Roman"/>
                <w:b/>
                <w:bCs/>
                <w:color w:val="333333"/>
                <w:sz w:val="18"/>
                <w:szCs w:val="18"/>
                <w:lang w:eastAsia="en-ZA"/>
              </w:rPr>
              <w:t>(MNB1601)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ECONOMICS IB </w:t>
            </w:r>
            <w:r w:rsidRPr="00271DCF">
              <w:rPr>
                <w:rFonts w:ascii="Verdana" w:eastAsia="Calibri" w:hAnsi="Verdana" w:cs="Times New Roman"/>
                <w:b/>
                <w:bCs/>
                <w:color w:val="333333"/>
                <w:sz w:val="18"/>
                <w:szCs w:val="18"/>
                <w:lang w:eastAsia="en-ZA"/>
              </w:rPr>
              <w:t>(ECS1601)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FINANCIAL ACCOUNTING PRINCIPLES, CONCEPTS AND PROCEDURES </w:t>
            </w:r>
            <w:r w:rsidRPr="00271DCF">
              <w:rPr>
                <w:rFonts w:ascii="Verdana" w:eastAsia="Calibri" w:hAnsi="Verdana" w:cs="Times New Roman"/>
                <w:b/>
                <w:bCs/>
                <w:color w:val="333333"/>
                <w:sz w:val="18"/>
                <w:szCs w:val="18"/>
                <w:lang w:eastAsia="en-ZA"/>
              </w:rPr>
              <w:t>(FAC1502)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BUSINESS MANAGEMENT IA </w:t>
            </w:r>
            <w:r w:rsidRPr="00271DCF">
              <w:rPr>
                <w:rFonts w:ascii="Verdana" w:eastAsia="Calibri" w:hAnsi="Verdana" w:cs="Times New Roman"/>
                <w:b/>
                <w:bCs/>
                <w:color w:val="333333"/>
                <w:sz w:val="18"/>
                <w:szCs w:val="18"/>
                <w:lang w:eastAsia="en-ZA"/>
              </w:rPr>
              <w:t>(MNB1501)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FINANCIAL ACCOUNTING REPORTING </w:t>
            </w:r>
            <w:r w:rsidRPr="00271DCF">
              <w:rPr>
                <w:rFonts w:ascii="Verdana" w:eastAsia="Calibri" w:hAnsi="Verdana" w:cs="Times New Roman"/>
                <w:b/>
                <w:bCs/>
                <w:color w:val="333333"/>
                <w:sz w:val="18"/>
                <w:szCs w:val="18"/>
                <w:lang w:eastAsia="en-ZA"/>
              </w:rPr>
              <w:t>(FAC1601)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STATISTICAL INFERENCE I </w:t>
            </w:r>
            <w:r w:rsidRPr="00271DCF">
              <w:rPr>
                <w:rFonts w:ascii="Verdana" w:eastAsia="Calibri" w:hAnsi="Verdana" w:cs="Times New Roman"/>
                <w:b/>
                <w:bCs/>
                <w:color w:val="333333"/>
                <w:sz w:val="18"/>
                <w:szCs w:val="18"/>
                <w:lang w:eastAsia="en-ZA"/>
              </w:rPr>
              <w:t>(STA1502)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DESCRIPTIVE STATISTICS AND PROBABILITY </w:t>
            </w:r>
            <w:r w:rsidRPr="00271DCF">
              <w:rPr>
                <w:rFonts w:ascii="Verdana" w:eastAsia="Calibri" w:hAnsi="Verdana" w:cs="Times New Roman"/>
                <w:b/>
                <w:bCs/>
                <w:color w:val="333333"/>
                <w:sz w:val="18"/>
                <w:szCs w:val="18"/>
                <w:lang w:eastAsia="en-ZA"/>
              </w:rPr>
              <w:t>(STA1501)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INTRODUCTORY FINANCIAL MATHEMATICS </w:t>
            </w:r>
            <w:r w:rsidRPr="00271DCF">
              <w:rPr>
                <w:rFonts w:ascii="Verdana" w:eastAsia="Calibri" w:hAnsi="Verdana" w:cs="Times New Roman"/>
                <w:b/>
                <w:bCs/>
                <w:color w:val="333333"/>
                <w:sz w:val="18"/>
                <w:szCs w:val="18"/>
                <w:lang w:eastAsia="en-ZA"/>
              </w:rPr>
              <w:t>(DSC1630)</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ECONOMICS IA </w:t>
            </w:r>
            <w:r w:rsidRPr="00271DCF">
              <w:rPr>
                <w:rFonts w:ascii="Verdana" w:eastAsia="Calibri" w:hAnsi="Verdana" w:cs="Times New Roman"/>
                <w:b/>
                <w:bCs/>
                <w:color w:val="333333"/>
                <w:sz w:val="18"/>
                <w:szCs w:val="18"/>
                <w:lang w:eastAsia="en-ZA"/>
              </w:rPr>
              <w:t>(ECS1501)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COMMERCIAL LAW IA </w:t>
            </w:r>
            <w:r w:rsidRPr="00271DCF">
              <w:rPr>
                <w:rFonts w:ascii="Verdana" w:eastAsia="Calibri" w:hAnsi="Verdana" w:cs="Times New Roman"/>
                <w:b/>
                <w:bCs/>
                <w:color w:val="333333"/>
                <w:sz w:val="18"/>
                <w:szCs w:val="18"/>
                <w:lang w:eastAsia="en-ZA"/>
              </w:rPr>
              <w:t>(CLA1501)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gridSpan w:val="6"/>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w:t>
            </w:r>
          </w:p>
        </w:tc>
      </w:tr>
      <w:tr w:rsidR="00271DCF" w:rsidRPr="00271DCF" w:rsidTr="00271DCF">
        <w:tc>
          <w:tcPr>
            <w:tcW w:w="0" w:type="auto"/>
            <w:gridSpan w:val="6"/>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b/>
                <w:bCs/>
                <w:color w:val="FFFFFF"/>
                <w:sz w:val="18"/>
                <w:szCs w:val="18"/>
                <w:lang w:eastAsia="en-ZA"/>
              </w:rPr>
            </w:pPr>
            <w:r w:rsidRPr="00271DCF">
              <w:rPr>
                <w:rFonts w:ascii="Verdana" w:eastAsia="Calibri" w:hAnsi="Verdana" w:cs="Times New Roman"/>
                <w:b/>
                <w:bCs/>
                <w:color w:val="FFFFFF"/>
                <w:sz w:val="18"/>
                <w:szCs w:val="18"/>
                <w:lang w:eastAsia="en-ZA"/>
              </w:rPr>
              <w:t>Modules for year 2</w:t>
            </w:r>
          </w:p>
        </w:tc>
      </w:tr>
      <w:tr w:rsidR="00271DCF" w:rsidRPr="00271DCF" w:rsidTr="00271DCF">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Module</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NQF level</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Credits</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Year level</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Compulsory</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Electives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INDIVIDUAL DIFFERENCES AND WORK PERFORMANCE </w:t>
            </w:r>
            <w:r w:rsidRPr="00271DCF">
              <w:rPr>
                <w:rFonts w:ascii="Verdana" w:eastAsia="Calibri" w:hAnsi="Verdana" w:cs="Times New Roman"/>
                <w:b/>
                <w:bCs/>
                <w:color w:val="333333"/>
                <w:sz w:val="18"/>
                <w:szCs w:val="18"/>
                <w:lang w:eastAsia="en-ZA"/>
              </w:rPr>
              <w:t>(IOP2606)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TRANSPORT FOR TOURISM </w:t>
            </w:r>
            <w:r w:rsidRPr="00271DCF">
              <w:rPr>
                <w:rFonts w:ascii="Verdana" w:eastAsia="Calibri" w:hAnsi="Verdana" w:cs="Times New Roman"/>
                <w:b/>
                <w:bCs/>
                <w:color w:val="333333"/>
                <w:sz w:val="18"/>
                <w:szCs w:val="18"/>
                <w:lang w:eastAsia="en-ZA"/>
              </w:rPr>
              <w:t>(TRT2601)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LINEAR MATHEMATICAL PROGRAMMING </w:t>
            </w:r>
            <w:r w:rsidRPr="00271DCF">
              <w:rPr>
                <w:rFonts w:ascii="Verdana" w:eastAsia="Calibri" w:hAnsi="Verdana" w:cs="Times New Roman"/>
                <w:b/>
                <w:bCs/>
                <w:color w:val="333333"/>
                <w:sz w:val="18"/>
                <w:szCs w:val="18"/>
                <w:lang w:eastAsia="en-ZA"/>
              </w:rPr>
              <w:t>(DSC2605)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NONLINEAR MATHEMATICAL PROGRAMMING </w:t>
            </w:r>
            <w:r w:rsidRPr="00271DCF">
              <w:rPr>
                <w:rFonts w:ascii="Verdana" w:eastAsia="Calibri" w:hAnsi="Verdana" w:cs="Times New Roman"/>
                <w:b/>
                <w:bCs/>
                <w:color w:val="333333"/>
                <w:sz w:val="18"/>
                <w:szCs w:val="18"/>
                <w:lang w:eastAsia="en-ZA"/>
              </w:rPr>
              <w:t>(DSC2606)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 xml:space="preserve">SUSTAINABILITY AND GREED </w:t>
            </w:r>
            <w:r w:rsidRPr="00271DCF">
              <w:rPr>
                <w:rFonts w:ascii="Verdana" w:eastAsia="Calibri" w:hAnsi="Verdana" w:cs="Times New Roman"/>
                <w:b/>
                <w:bCs/>
                <w:color w:val="333333"/>
                <w:sz w:val="18"/>
                <w:szCs w:val="18"/>
                <w:highlight w:val="yellow"/>
                <w:lang w:eastAsia="en-ZA"/>
              </w:rPr>
              <w:t>(SUS1501)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Level 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lastRenderedPageBreak/>
              <w:t xml:space="preserve">FINANCIAL MODELLING </w:t>
            </w:r>
            <w:r w:rsidRPr="00271DCF">
              <w:rPr>
                <w:rFonts w:ascii="Verdana" w:eastAsia="Calibri" w:hAnsi="Verdana" w:cs="Times New Roman"/>
                <w:b/>
                <w:bCs/>
                <w:color w:val="333333"/>
                <w:sz w:val="18"/>
                <w:szCs w:val="18"/>
                <w:lang w:eastAsia="en-ZA"/>
              </w:rPr>
              <w:t>(DSC2604)</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1F497D"/>
                <w:sz w:val="18"/>
                <w:szCs w:val="18"/>
                <w:highlight w:val="yellow"/>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1F497D"/>
                <w:sz w:val="18"/>
                <w:szCs w:val="18"/>
                <w:highlight w:val="yellow"/>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ECONOMICS OF TOURISM </w:t>
            </w:r>
            <w:r w:rsidRPr="00271DCF">
              <w:rPr>
                <w:rFonts w:ascii="Verdana" w:eastAsia="Calibri" w:hAnsi="Verdana" w:cs="Times New Roman"/>
                <w:b/>
                <w:bCs/>
                <w:color w:val="333333"/>
                <w:sz w:val="18"/>
                <w:szCs w:val="18"/>
                <w:lang w:eastAsia="en-ZA"/>
              </w:rPr>
              <w:t>(ECS2607)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r w:rsidRPr="00271DCF">
              <w:rPr>
                <w:rFonts w:ascii="Verdana" w:eastAsia="Calibri" w:hAnsi="Verdana" w:cs="Times New Roman"/>
                <w:color w:val="1F497D"/>
                <w:sz w:val="18"/>
                <w:szCs w:val="18"/>
                <w:lang w:eastAsia="en-ZA"/>
              </w:rPr>
              <w:t xml:space="preserve"> </w:t>
            </w:r>
            <w:r w:rsidRPr="00271DCF">
              <w:rPr>
                <w:rFonts w:ascii="Verdana" w:eastAsia="Calibri" w:hAnsi="Verdana" w:cs="Times New Roman"/>
                <w:color w:val="1F497D"/>
                <w:sz w:val="18"/>
                <w:szCs w:val="18"/>
                <w:highlight w:val="yellow"/>
                <w:lang w:eastAsia="en-ZA"/>
              </w:rPr>
              <w:t>(1 from 6)</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ENVIRONMENTAL ECONOMICS </w:t>
            </w:r>
            <w:r w:rsidRPr="00271DCF">
              <w:rPr>
                <w:rFonts w:ascii="Verdana" w:eastAsia="Calibri" w:hAnsi="Verdana" w:cs="Times New Roman"/>
                <w:b/>
                <w:bCs/>
                <w:color w:val="333333"/>
                <w:sz w:val="18"/>
                <w:szCs w:val="18"/>
                <w:lang w:eastAsia="en-ZA"/>
              </w:rPr>
              <w:t>(ECS2606)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r w:rsidRPr="00271DCF">
              <w:rPr>
                <w:rFonts w:ascii="Verdana" w:eastAsia="Calibri" w:hAnsi="Verdana" w:cs="Times New Roman"/>
                <w:color w:val="1F497D"/>
                <w:sz w:val="18"/>
                <w:szCs w:val="18"/>
                <w:lang w:eastAsia="en-ZA"/>
              </w:rPr>
              <w:t xml:space="preserve"> </w:t>
            </w:r>
            <w:r w:rsidRPr="00271DCF">
              <w:rPr>
                <w:rFonts w:ascii="Verdana" w:eastAsia="Calibri" w:hAnsi="Verdana" w:cs="Times New Roman"/>
                <w:color w:val="1F497D"/>
                <w:sz w:val="18"/>
                <w:szCs w:val="18"/>
                <w:highlight w:val="yellow"/>
                <w:lang w:eastAsia="en-ZA"/>
              </w:rPr>
              <w:t>(1 from 6)</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LABOUR ECONOMICS </w:t>
            </w:r>
            <w:r w:rsidRPr="00271DCF">
              <w:rPr>
                <w:rFonts w:ascii="Verdana" w:eastAsia="Calibri" w:hAnsi="Verdana" w:cs="Times New Roman"/>
                <w:b/>
                <w:bCs/>
                <w:color w:val="333333"/>
                <w:sz w:val="18"/>
                <w:szCs w:val="18"/>
                <w:lang w:eastAsia="en-ZA"/>
              </w:rPr>
              <w:t>(ECS2604)</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r w:rsidRPr="00271DCF">
              <w:rPr>
                <w:rFonts w:ascii="Verdana" w:eastAsia="Calibri" w:hAnsi="Verdana" w:cs="Times New Roman"/>
                <w:color w:val="1F497D"/>
                <w:sz w:val="18"/>
                <w:szCs w:val="18"/>
                <w:lang w:eastAsia="en-ZA"/>
              </w:rPr>
              <w:t xml:space="preserve"> </w:t>
            </w:r>
            <w:r w:rsidRPr="00271DCF">
              <w:rPr>
                <w:rFonts w:ascii="Verdana" w:eastAsia="Calibri" w:hAnsi="Verdana" w:cs="Times New Roman"/>
                <w:color w:val="1F497D"/>
                <w:sz w:val="18"/>
                <w:szCs w:val="18"/>
                <w:highlight w:val="yellow"/>
                <w:lang w:eastAsia="en-ZA"/>
              </w:rPr>
              <w:t>(1 from 6)</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SOUTH AFRICAN FINANCIAL SYSTEM </w:t>
            </w:r>
            <w:r w:rsidRPr="00271DCF">
              <w:rPr>
                <w:rFonts w:ascii="Verdana" w:eastAsia="Calibri" w:hAnsi="Verdana" w:cs="Times New Roman"/>
                <w:b/>
                <w:bCs/>
                <w:color w:val="333333"/>
                <w:sz w:val="18"/>
                <w:szCs w:val="18"/>
                <w:lang w:eastAsia="en-ZA"/>
              </w:rPr>
              <w:t>(ECS2605)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r w:rsidRPr="00271DCF">
              <w:rPr>
                <w:rFonts w:ascii="Verdana" w:eastAsia="Calibri" w:hAnsi="Verdana" w:cs="Times New Roman"/>
                <w:color w:val="1F497D"/>
                <w:sz w:val="18"/>
                <w:szCs w:val="18"/>
                <w:lang w:eastAsia="en-ZA"/>
              </w:rPr>
              <w:t xml:space="preserve"> </w:t>
            </w:r>
            <w:r w:rsidRPr="00271DCF">
              <w:rPr>
                <w:rFonts w:ascii="Verdana" w:eastAsia="Calibri" w:hAnsi="Verdana" w:cs="Times New Roman"/>
                <w:color w:val="1F497D"/>
                <w:sz w:val="18"/>
                <w:szCs w:val="18"/>
                <w:highlight w:val="yellow"/>
                <w:lang w:eastAsia="en-ZA"/>
              </w:rPr>
              <w:t>(1 from 6)</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ECONOMIC HISTORY OF SOUTH AFRICA </w:t>
            </w:r>
            <w:r w:rsidRPr="00271DCF">
              <w:rPr>
                <w:rFonts w:ascii="Verdana" w:eastAsia="Calibri" w:hAnsi="Verdana" w:cs="Times New Roman"/>
                <w:b/>
                <w:bCs/>
                <w:color w:val="333333"/>
                <w:sz w:val="18"/>
                <w:szCs w:val="18"/>
                <w:lang w:eastAsia="en-ZA"/>
              </w:rPr>
              <w:t>(ECS2609)</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r w:rsidRPr="00271DCF">
              <w:rPr>
                <w:rFonts w:ascii="Verdana" w:eastAsia="Calibri" w:hAnsi="Verdana" w:cs="Times New Roman"/>
                <w:color w:val="1F497D"/>
                <w:sz w:val="18"/>
                <w:szCs w:val="18"/>
                <w:lang w:eastAsia="en-ZA"/>
              </w:rPr>
              <w:t xml:space="preserve"> </w:t>
            </w:r>
            <w:r w:rsidRPr="00271DCF">
              <w:rPr>
                <w:rFonts w:ascii="Verdana" w:eastAsia="Calibri" w:hAnsi="Verdana" w:cs="Times New Roman"/>
                <w:color w:val="1F497D"/>
                <w:sz w:val="18"/>
                <w:szCs w:val="18"/>
                <w:highlight w:val="yellow"/>
                <w:lang w:eastAsia="en-ZA"/>
              </w:rPr>
              <w:t>(1 from 6)</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DEVELOPMENT ECONOMICS </w:t>
            </w:r>
            <w:r w:rsidRPr="00271DCF">
              <w:rPr>
                <w:rFonts w:ascii="Verdana" w:eastAsia="Calibri" w:hAnsi="Verdana" w:cs="Times New Roman"/>
                <w:b/>
                <w:bCs/>
                <w:color w:val="333333"/>
                <w:sz w:val="18"/>
                <w:szCs w:val="18"/>
                <w:lang w:eastAsia="en-ZA"/>
              </w:rPr>
              <w:t>(ECS207G)</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INDIVIDUAL LABOUR LAW </w:t>
            </w:r>
            <w:r w:rsidRPr="00271DCF">
              <w:rPr>
                <w:rFonts w:ascii="Verdana" w:eastAsia="Calibri" w:hAnsi="Verdana" w:cs="Times New Roman"/>
                <w:b/>
                <w:bCs/>
                <w:color w:val="333333"/>
                <w:sz w:val="18"/>
                <w:szCs w:val="18"/>
                <w:lang w:eastAsia="en-ZA"/>
              </w:rPr>
              <w:t>(LLW2601)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TRANSPORT ECONOMICS </w:t>
            </w:r>
            <w:r w:rsidRPr="00271DCF">
              <w:rPr>
                <w:rFonts w:ascii="Verdana" w:eastAsia="Calibri" w:hAnsi="Verdana" w:cs="Times New Roman"/>
                <w:b/>
                <w:bCs/>
                <w:color w:val="333333"/>
                <w:sz w:val="18"/>
                <w:szCs w:val="18"/>
                <w:lang w:eastAsia="en-ZA"/>
              </w:rPr>
              <w:t>(TRL2602)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FINANCIAL ACCOUNTING FOR COMPANIES </w:t>
            </w:r>
            <w:r w:rsidRPr="00271DCF">
              <w:rPr>
                <w:rFonts w:ascii="Verdana" w:eastAsia="Calibri" w:hAnsi="Verdana" w:cs="Times New Roman"/>
                <w:b/>
                <w:bCs/>
                <w:color w:val="333333"/>
                <w:sz w:val="18"/>
                <w:szCs w:val="18"/>
                <w:lang w:eastAsia="en-ZA"/>
              </w:rPr>
              <w:t>(FAC2601)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PRACTICAL ACCOUNTING DATA PROCESSING </w:t>
            </w:r>
            <w:r w:rsidRPr="00271DCF">
              <w:rPr>
                <w:rFonts w:ascii="Verdana" w:eastAsia="Calibri" w:hAnsi="Verdana" w:cs="Times New Roman"/>
                <w:b/>
                <w:bCs/>
                <w:color w:val="333333"/>
                <w:sz w:val="18"/>
                <w:szCs w:val="18"/>
                <w:lang w:eastAsia="en-ZA"/>
              </w:rPr>
              <w:t>(AIN2601)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INTRODUCTION TO ENTREPRENEURSHIP AND SMALL BUSINESS MANAGEMENT </w:t>
            </w:r>
            <w:r w:rsidRPr="00271DCF">
              <w:rPr>
                <w:rFonts w:ascii="Verdana" w:eastAsia="Calibri" w:hAnsi="Verdana" w:cs="Times New Roman"/>
                <w:b/>
                <w:bCs/>
                <w:color w:val="333333"/>
                <w:sz w:val="18"/>
                <w:szCs w:val="18"/>
                <w:lang w:eastAsia="en-ZA"/>
              </w:rPr>
              <w:t>(MNE2601)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PRINCIPLES OF MANAGEMENT ACCOUNTING </w:t>
            </w:r>
            <w:r w:rsidRPr="00271DCF">
              <w:rPr>
                <w:rFonts w:ascii="Verdana" w:eastAsia="Calibri" w:hAnsi="Verdana" w:cs="Times New Roman"/>
                <w:b/>
                <w:bCs/>
                <w:color w:val="333333"/>
                <w:sz w:val="18"/>
                <w:szCs w:val="18"/>
                <w:lang w:eastAsia="en-ZA"/>
              </w:rPr>
              <w:t>(MAC2601)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1F497D"/>
                <w:sz w:val="18"/>
                <w:szCs w:val="18"/>
                <w:highlight w:val="yellow"/>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1F497D"/>
                <w:sz w:val="18"/>
                <w:szCs w:val="18"/>
                <w:highlight w:val="yellow"/>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ECONOMIC HISTORY OF THE WORLD </w:t>
            </w:r>
            <w:r w:rsidRPr="00271DCF">
              <w:rPr>
                <w:rFonts w:ascii="Verdana" w:eastAsia="Calibri" w:hAnsi="Verdana" w:cs="Times New Roman"/>
                <w:b/>
                <w:bCs/>
                <w:color w:val="333333"/>
                <w:sz w:val="18"/>
                <w:szCs w:val="18"/>
                <w:lang w:eastAsia="en-ZA"/>
              </w:rPr>
              <w:t>(ECS2608)</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r w:rsidRPr="00271DCF">
              <w:rPr>
                <w:rFonts w:ascii="Verdana" w:eastAsia="Calibri" w:hAnsi="Verdana" w:cs="Times New Roman"/>
                <w:color w:val="1F497D"/>
                <w:sz w:val="18"/>
                <w:szCs w:val="18"/>
                <w:lang w:eastAsia="en-ZA"/>
              </w:rPr>
              <w:t xml:space="preserve"> </w:t>
            </w:r>
            <w:r w:rsidRPr="00271DCF">
              <w:rPr>
                <w:rFonts w:ascii="Verdana" w:eastAsia="Calibri" w:hAnsi="Verdana" w:cs="Times New Roman"/>
                <w:color w:val="1F497D"/>
                <w:sz w:val="18"/>
                <w:szCs w:val="18"/>
                <w:highlight w:val="yellow"/>
                <w:lang w:eastAsia="en-ZA"/>
              </w:rPr>
              <w:t>(1 from 6)</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AUDITING THEORY AND PRACTICE </w:t>
            </w:r>
            <w:r w:rsidRPr="00271DCF">
              <w:rPr>
                <w:rFonts w:ascii="Verdana" w:eastAsia="Calibri" w:hAnsi="Verdana" w:cs="Times New Roman"/>
                <w:b/>
                <w:bCs/>
                <w:color w:val="333333"/>
                <w:sz w:val="18"/>
                <w:szCs w:val="18"/>
                <w:lang w:eastAsia="en-ZA"/>
              </w:rPr>
              <w:t>(AUE2601)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PRINCIPLES OF STRATEGY, RISK &amp; FINANCIAL MANAGEMENT TECHNIQUES </w:t>
            </w:r>
            <w:r w:rsidRPr="00271DCF">
              <w:rPr>
                <w:rFonts w:ascii="Verdana" w:eastAsia="Calibri" w:hAnsi="Verdana" w:cs="Times New Roman"/>
                <w:b/>
                <w:bCs/>
                <w:color w:val="333333"/>
                <w:sz w:val="18"/>
                <w:szCs w:val="18"/>
                <w:lang w:eastAsia="en-ZA"/>
              </w:rPr>
              <w:t>(MAC2602)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MATHEMATICAL MODELLING II </w:t>
            </w:r>
            <w:r w:rsidRPr="00271DCF">
              <w:rPr>
                <w:rFonts w:ascii="Verdana" w:eastAsia="Calibri" w:hAnsi="Verdana" w:cs="Times New Roman"/>
                <w:b/>
                <w:bCs/>
                <w:color w:val="333333"/>
                <w:sz w:val="18"/>
                <w:szCs w:val="18"/>
                <w:lang w:eastAsia="en-ZA"/>
              </w:rPr>
              <w:t>(DSC2603)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lastRenderedPageBreak/>
              <w:t xml:space="preserve">FINANCIAL MANAGEMENT </w:t>
            </w:r>
            <w:r w:rsidRPr="00271DCF">
              <w:rPr>
                <w:rFonts w:ascii="Verdana" w:eastAsia="Calibri" w:hAnsi="Verdana" w:cs="Times New Roman"/>
                <w:b/>
                <w:bCs/>
                <w:color w:val="333333"/>
                <w:sz w:val="18"/>
                <w:szCs w:val="18"/>
                <w:lang w:eastAsia="en-ZA"/>
              </w:rPr>
              <w:t>(FIN2601)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MACROECONOMICS </w:t>
            </w:r>
            <w:r w:rsidRPr="00271DCF">
              <w:rPr>
                <w:rFonts w:ascii="Verdana" w:eastAsia="Calibri" w:hAnsi="Verdana" w:cs="Times New Roman"/>
                <w:b/>
                <w:bCs/>
                <w:color w:val="333333"/>
                <w:sz w:val="18"/>
                <w:szCs w:val="18"/>
                <w:lang w:eastAsia="en-ZA"/>
              </w:rPr>
              <w:t>(ECS2602)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MICROECONOMICS </w:t>
            </w:r>
            <w:r w:rsidRPr="00271DCF">
              <w:rPr>
                <w:rFonts w:ascii="Verdana" w:eastAsia="Calibri" w:hAnsi="Verdana" w:cs="Times New Roman"/>
                <w:b/>
                <w:bCs/>
                <w:color w:val="333333"/>
                <w:sz w:val="18"/>
                <w:szCs w:val="18"/>
                <w:lang w:eastAsia="en-ZA"/>
              </w:rPr>
              <w:t>(ECS2601)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INVESTMENTS: AN INTRODUCTION </w:t>
            </w:r>
            <w:r w:rsidRPr="00271DCF">
              <w:rPr>
                <w:rFonts w:ascii="Verdana" w:eastAsia="Calibri" w:hAnsi="Verdana" w:cs="Times New Roman"/>
                <w:b/>
                <w:bCs/>
                <w:color w:val="333333"/>
                <w:sz w:val="18"/>
                <w:szCs w:val="18"/>
                <w:lang w:eastAsia="en-ZA"/>
              </w:rPr>
              <w:t>(INV2601)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1F497D"/>
                <w:sz w:val="18"/>
                <w:szCs w:val="18"/>
                <w:highlight w:val="yellow"/>
                <w:lang w:eastAsia="en-ZA"/>
              </w:rPr>
              <w:t xml:space="preserve">SOUTH AFRICAN ECONOMIC INDICATORS </w:t>
            </w:r>
            <w:r w:rsidRPr="00271DCF">
              <w:rPr>
                <w:rFonts w:ascii="Verdana" w:eastAsia="Calibri" w:hAnsi="Verdana" w:cs="Times New Roman"/>
                <w:b/>
                <w:bCs/>
                <w:color w:val="1F497D"/>
                <w:sz w:val="18"/>
                <w:szCs w:val="18"/>
                <w:highlight w:val="yellow"/>
                <w:lang w:eastAsia="en-ZA"/>
              </w:rPr>
              <w:t>(ECS2603)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highlight w:val="yellow"/>
                <w:lang w:eastAsia="en-ZA"/>
              </w:rPr>
            </w:pPr>
            <w:r w:rsidRPr="00271DCF">
              <w:rPr>
                <w:rFonts w:ascii="Verdana" w:eastAsia="Calibri" w:hAnsi="Verdana" w:cs="Times New Roman"/>
                <w:color w:val="333333"/>
                <w:sz w:val="18"/>
                <w:szCs w:val="18"/>
                <w:highlight w:val="yellow"/>
                <w:lang w:eastAsia="en-ZA"/>
              </w:rPr>
              <w:t>No</w:t>
            </w:r>
          </w:p>
        </w:tc>
      </w:tr>
      <w:tr w:rsidR="00271DCF" w:rsidRPr="00271DCF" w:rsidTr="00271DCF">
        <w:tc>
          <w:tcPr>
            <w:tcW w:w="0" w:type="auto"/>
            <w:gridSpan w:val="6"/>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w:t>
            </w:r>
          </w:p>
        </w:tc>
      </w:tr>
      <w:tr w:rsidR="00271DCF" w:rsidRPr="00271DCF" w:rsidTr="00271DCF">
        <w:tc>
          <w:tcPr>
            <w:tcW w:w="0" w:type="auto"/>
            <w:gridSpan w:val="6"/>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b/>
                <w:bCs/>
                <w:color w:val="FFFFFF"/>
                <w:sz w:val="18"/>
                <w:szCs w:val="18"/>
                <w:lang w:eastAsia="en-ZA"/>
              </w:rPr>
            </w:pPr>
            <w:r w:rsidRPr="00271DCF">
              <w:rPr>
                <w:rFonts w:ascii="Verdana" w:eastAsia="Calibri" w:hAnsi="Verdana" w:cs="Times New Roman"/>
                <w:b/>
                <w:bCs/>
                <w:color w:val="FFFFFF"/>
                <w:sz w:val="18"/>
                <w:szCs w:val="18"/>
                <w:lang w:eastAsia="en-ZA"/>
              </w:rPr>
              <w:t>Modules for year 3</w:t>
            </w:r>
          </w:p>
        </w:tc>
      </w:tr>
      <w:tr w:rsidR="00271DCF" w:rsidRPr="00271DCF" w:rsidTr="00271DCF">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Module</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NQF level</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Credits</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Year level</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Compulsory</w:t>
            </w:r>
          </w:p>
        </w:tc>
        <w:tc>
          <w:tcPr>
            <w:tcW w:w="0" w:type="auto"/>
            <w:shd w:val="clear" w:color="auto" w:fill="6A6B6C"/>
            <w:tcMar>
              <w:top w:w="60" w:type="dxa"/>
              <w:left w:w="60" w:type="dxa"/>
              <w:bottom w:w="60" w:type="dxa"/>
              <w:right w:w="60" w:type="dxa"/>
            </w:tcMar>
            <w:vAlign w:val="center"/>
            <w:hideMark/>
          </w:tcPr>
          <w:p w:rsidR="00271DCF" w:rsidRPr="00271DCF" w:rsidRDefault="00271DCF" w:rsidP="00271DCF">
            <w:pPr>
              <w:spacing w:after="150" w:line="240" w:lineRule="auto"/>
              <w:rPr>
                <w:rFonts w:ascii="Verdana" w:eastAsia="Calibri" w:hAnsi="Verdana" w:cs="Times New Roman"/>
                <w:color w:val="FFFFFF"/>
                <w:sz w:val="18"/>
                <w:szCs w:val="18"/>
                <w:lang w:eastAsia="en-ZA"/>
              </w:rPr>
            </w:pPr>
            <w:r w:rsidRPr="00271DCF">
              <w:rPr>
                <w:rFonts w:ascii="Verdana" w:eastAsia="Calibri" w:hAnsi="Verdana" w:cs="Times New Roman"/>
                <w:color w:val="FFFFFF"/>
                <w:sz w:val="18"/>
                <w:szCs w:val="18"/>
                <w:lang w:eastAsia="en-ZA"/>
              </w:rPr>
              <w:t>Electives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THEORETICAL AND APPLIED ETHICS </w:t>
            </w:r>
            <w:r w:rsidRPr="00271DCF">
              <w:rPr>
                <w:rFonts w:ascii="Verdana" w:eastAsia="Calibri" w:hAnsi="Verdana" w:cs="Times New Roman"/>
                <w:b/>
                <w:bCs/>
                <w:color w:val="333333"/>
                <w:sz w:val="18"/>
                <w:szCs w:val="18"/>
                <w:lang w:eastAsia="en-ZA"/>
              </w:rPr>
              <w:t>(PLS3701)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MANAGEMENT ACCOUNTING TECHNIQUES AS AN AID IN DECISION-MAKING </w:t>
            </w:r>
            <w:r w:rsidRPr="00271DCF">
              <w:rPr>
                <w:rFonts w:ascii="Verdana" w:eastAsia="Calibri" w:hAnsi="Verdana" w:cs="Times New Roman"/>
                <w:b/>
                <w:bCs/>
                <w:color w:val="333333"/>
                <w:sz w:val="18"/>
                <w:szCs w:val="18"/>
                <w:lang w:eastAsia="en-ZA"/>
              </w:rPr>
              <w:t>(ACN306Y)</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FINANCIAL ANALYSIS, VALUATIONS AND RESTRUCTURING </w:t>
            </w:r>
            <w:r w:rsidRPr="00271DCF">
              <w:rPr>
                <w:rFonts w:ascii="Verdana" w:eastAsia="Calibri" w:hAnsi="Verdana" w:cs="Times New Roman"/>
                <w:b/>
                <w:bCs/>
                <w:color w:val="333333"/>
                <w:sz w:val="18"/>
                <w:szCs w:val="18"/>
                <w:lang w:eastAsia="en-ZA"/>
              </w:rPr>
              <w:t>(ACN3084)</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APPLICATION OF MANAGEMENT ACCOUNTING TECHNIQUES </w:t>
            </w:r>
            <w:r w:rsidRPr="00271DCF">
              <w:rPr>
                <w:rFonts w:ascii="Verdana" w:eastAsia="Calibri" w:hAnsi="Verdana" w:cs="Times New Roman"/>
                <w:b/>
                <w:bCs/>
                <w:color w:val="333333"/>
                <w:sz w:val="18"/>
                <w:szCs w:val="18"/>
                <w:lang w:eastAsia="en-ZA"/>
              </w:rPr>
              <w:t>(MAC3701)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INVESTOR PSYCHOLOGY </w:t>
            </w:r>
            <w:r w:rsidRPr="00271DCF">
              <w:rPr>
                <w:rFonts w:ascii="Verdana" w:eastAsia="Calibri" w:hAnsi="Verdana" w:cs="Times New Roman"/>
                <w:b/>
                <w:bCs/>
                <w:color w:val="333333"/>
                <w:sz w:val="18"/>
                <w:szCs w:val="18"/>
                <w:lang w:eastAsia="en-ZA"/>
              </w:rPr>
              <w:t>(IOP3708)</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DEVELOPMENT ECONOMICS </w:t>
            </w:r>
            <w:r w:rsidRPr="00271DCF">
              <w:rPr>
                <w:rFonts w:ascii="Verdana" w:eastAsia="Calibri" w:hAnsi="Verdana" w:cs="Times New Roman"/>
                <w:b/>
                <w:bCs/>
                <w:color w:val="333333"/>
                <w:sz w:val="18"/>
                <w:szCs w:val="18"/>
                <w:lang w:eastAsia="en-ZA"/>
              </w:rPr>
              <w:t>(ECS3707)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ECONOMETRICS </w:t>
            </w:r>
            <w:r w:rsidRPr="00271DCF">
              <w:rPr>
                <w:rFonts w:ascii="Verdana" w:eastAsia="Calibri" w:hAnsi="Verdana" w:cs="Times New Roman"/>
                <w:b/>
                <w:bCs/>
                <w:color w:val="333333"/>
                <w:sz w:val="18"/>
                <w:szCs w:val="18"/>
                <w:lang w:eastAsia="en-ZA"/>
              </w:rPr>
              <w:t>(ECS3706)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HISTORY OF ECONOMIC THOUGHT </w:t>
            </w:r>
            <w:r w:rsidRPr="00271DCF">
              <w:rPr>
                <w:rFonts w:ascii="Verdana" w:eastAsia="Calibri" w:hAnsi="Verdana" w:cs="Times New Roman"/>
                <w:b/>
                <w:bCs/>
                <w:color w:val="333333"/>
                <w:sz w:val="18"/>
                <w:szCs w:val="18"/>
                <w:lang w:eastAsia="en-ZA"/>
              </w:rPr>
              <w:t>(ECS3705)</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INTERNATIONAL TRADE </w:t>
            </w:r>
            <w:r w:rsidRPr="00271DCF">
              <w:rPr>
                <w:rFonts w:ascii="Verdana" w:eastAsia="Calibri" w:hAnsi="Verdana" w:cs="Times New Roman"/>
                <w:b/>
                <w:bCs/>
                <w:color w:val="333333"/>
                <w:sz w:val="18"/>
                <w:szCs w:val="18"/>
                <w:lang w:eastAsia="en-ZA"/>
              </w:rPr>
              <w:t>(ECS3702)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PUBLIC ECONOMICS </w:t>
            </w:r>
            <w:r w:rsidRPr="00271DCF">
              <w:rPr>
                <w:rFonts w:ascii="Verdana" w:eastAsia="Calibri" w:hAnsi="Verdana" w:cs="Times New Roman"/>
                <w:b/>
                <w:bCs/>
                <w:color w:val="333333"/>
                <w:sz w:val="18"/>
                <w:szCs w:val="18"/>
                <w:lang w:eastAsia="en-ZA"/>
              </w:rPr>
              <w:t>(ECS3704)</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INTERNATIONAL FINANCE </w:t>
            </w:r>
            <w:r w:rsidRPr="00271DCF">
              <w:rPr>
                <w:rFonts w:ascii="Verdana" w:eastAsia="Calibri" w:hAnsi="Verdana" w:cs="Times New Roman"/>
                <w:b/>
                <w:bCs/>
                <w:color w:val="333333"/>
                <w:sz w:val="18"/>
                <w:szCs w:val="18"/>
                <w:lang w:eastAsia="en-ZA"/>
              </w:rPr>
              <w:lastRenderedPageBreak/>
              <w:t>(ECS3703)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lastRenderedPageBreak/>
              <w:t xml:space="preserve">Level </w:t>
            </w:r>
            <w:r w:rsidRPr="00271DCF">
              <w:rPr>
                <w:rFonts w:ascii="Verdana" w:eastAsia="Calibri" w:hAnsi="Verdana" w:cs="Times New Roman"/>
                <w:color w:val="333333"/>
                <w:sz w:val="18"/>
                <w:szCs w:val="18"/>
                <w:lang w:eastAsia="en-ZA"/>
              </w:rPr>
              <w:lastRenderedPageBreak/>
              <w:t>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lastRenderedPageBreak/>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lastRenderedPageBreak/>
              <w:t xml:space="preserve">MONETARY ECONOMICS </w:t>
            </w:r>
            <w:r w:rsidRPr="00271DCF">
              <w:rPr>
                <w:rFonts w:ascii="Verdana" w:eastAsia="Calibri" w:hAnsi="Verdana" w:cs="Times New Roman"/>
                <w:b/>
                <w:bCs/>
                <w:color w:val="333333"/>
                <w:sz w:val="18"/>
                <w:szCs w:val="18"/>
                <w:lang w:eastAsia="en-ZA"/>
              </w:rPr>
              <w:t>(ECS3701)</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xml:space="preserve">APPLICATION OF FINANCIAL MANAGEMENT TECHNIQUES </w:t>
            </w:r>
            <w:r w:rsidRPr="00271DCF">
              <w:rPr>
                <w:rFonts w:ascii="Verdana" w:eastAsia="Calibri" w:hAnsi="Verdana" w:cs="Times New Roman"/>
                <w:b/>
                <w:bCs/>
                <w:color w:val="333333"/>
                <w:sz w:val="18"/>
                <w:szCs w:val="18"/>
                <w:lang w:eastAsia="en-ZA"/>
              </w:rPr>
              <w:t>(MAC3702)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Level 7</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12</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3</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Yes</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No</w:t>
            </w:r>
          </w:p>
        </w:tc>
      </w:tr>
      <w:tr w:rsidR="00271DCF" w:rsidRPr="00271DCF" w:rsidTr="00271DCF">
        <w:tc>
          <w:tcPr>
            <w:tcW w:w="0" w:type="auto"/>
            <w:gridSpan w:val="6"/>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color w:val="333333"/>
                <w:sz w:val="18"/>
                <w:szCs w:val="18"/>
                <w:lang w:eastAsia="en-ZA"/>
              </w:rPr>
              <w:t> </w:t>
            </w:r>
          </w:p>
        </w:tc>
      </w:tr>
      <w:tr w:rsidR="00271DCF" w:rsidRPr="00271DCF" w:rsidTr="00271DCF">
        <w:tc>
          <w:tcPr>
            <w:tcW w:w="0" w:type="auto"/>
            <w:gridSpan w:val="4"/>
            <w:tcBorders>
              <w:top w:val="nil"/>
              <w:left w:val="single" w:sz="8" w:space="0" w:color="CACACA"/>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0" w:line="240" w:lineRule="auto"/>
              <w:rPr>
                <w:rFonts w:ascii="Times New Roman" w:eastAsia="Times New Roman" w:hAnsi="Times New Roman" w:cs="Times New Roman"/>
                <w:sz w:val="20"/>
                <w:szCs w:val="20"/>
                <w:lang w:eastAsia="en-ZA"/>
              </w:rPr>
            </w:pP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b/>
                <w:bCs/>
                <w:color w:val="333333"/>
                <w:sz w:val="18"/>
                <w:szCs w:val="18"/>
                <w:lang w:eastAsia="en-ZA"/>
              </w:rPr>
              <w:t xml:space="preserve">Total Compulsory Credits: </w:t>
            </w:r>
            <w:r w:rsidRPr="00271DCF">
              <w:rPr>
                <w:rFonts w:ascii="Verdana" w:eastAsia="Calibri" w:hAnsi="Verdana" w:cs="Times New Roman"/>
                <w:color w:val="333333"/>
                <w:sz w:val="18"/>
                <w:szCs w:val="18"/>
                <w:highlight w:val="yellow"/>
                <w:lang w:eastAsia="en-ZA"/>
              </w:rPr>
              <w:t>3</w:t>
            </w:r>
            <w:r w:rsidRPr="00271DCF">
              <w:rPr>
                <w:rFonts w:ascii="Verdana" w:eastAsia="Calibri" w:hAnsi="Verdana" w:cs="Times New Roman"/>
                <w:color w:val="1F497D"/>
                <w:sz w:val="18"/>
                <w:szCs w:val="18"/>
                <w:highlight w:val="yellow"/>
                <w:lang w:eastAsia="en-ZA"/>
              </w:rPr>
              <w:t>36</w:t>
            </w:r>
          </w:p>
        </w:tc>
        <w:tc>
          <w:tcPr>
            <w:tcW w:w="0" w:type="auto"/>
            <w:tcBorders>
              <w:top w:val="nil"/>
              <w:left w:val="nil"/>
              <w:bottom w:val="nil"/>
              <w:right w:val="single" w:sz="8" w:space="0" w:color="E2E2E2"/>
            </w:tcBorders>
            <w:shd w:val="clear" w:color="auto" w:fill="FFFFFF"/>
            <w:tcMar>
              <w:top w:w="90" w:type="dxa"/>
              <w:left w:w="90" w:type="dxa"/>
              <w:bottom w:w="90" w:type="dxa"/>
              <w:right w:w="90" w:type="dxa"/>
            </w:tcMar>
            <w:hideMark/>
          </w:tcPr>
          <w:p w:rsidR="00271DCF" w:rsidRPr="00271DCF" w:rsidRDefault="00271DCF" w:rsidP="00271DCF">
            <w:pPr>
              <w:spacing w:after="150" w:line="240" w:lineRule="auto"/>
              <w:rPr>
                <w:rFonts w:ascii="Verdana" w:eastAsia="Calibri" w:hAnsi="Verdana" w:cs="Times New Roman"/>
                <w:color w:val="333333"/>
                <w:sz w:val="18"/>
                <w:szCs w:val="18"/>
                <w:lang w:eastAsia="en-ZA"/>
              </w:rPr>
            </w:pPr>
            <w:r w:rsidRPr="00271DCF">
              <w:rPr>
                <w:rFonts w:ascii="Verdana" w:eastAsia="Calibri" w:hAnsi="Verdana" w:cs="Times New Roman"/>
                <w:b/>
                <w:bCs/>
                <w:color w:val="333333"/>
                <w:sz w:val="18"/>
                <w:szCs w:val="18"/>
                <w:lang w:eastAsia="en-ZA"/>
              </w:rPr>
              <w:t xml:space="preserve">Total Elective Modules: </w:t>
            </w:r>
            <w:r w:rsidRPr="00271DCF">
              <w:rPr>
                <w:rFonts w:ascii="Verdana" w:eastAsia="Calibri" w:hAnsi="Verdana" w:cs="Times New Roman"/>
                <w:color w:val="1F497D"/>
                <w:sz w:val="18"/>
                <w:szCs w:val="18"/>
                <w:highlight w:val="yellow"/>
                <w:lang w:eastAsia="en-ZA"/>
              </w:rPr>
              <w:t>24</w:t>
            </w:r>
          </w:p>
        </w:tc>
      </w:tr>
    </w:tbl>
    <w:p w:rsidR="00271DCF" w:rsidRPr="00271DCF" w:rsidRDefault="00271DCF" w:rsidP="00271DCF"/>
    <w:p w:rsidR="007D57F6" w:rsidRDefault="007D57F6" w:rsidP="007D57F6"/>
    <w:p w:rsidR="00271DCF" w:rsidRPr="00271DCF" w:rsidRDefault="00271DCF" w:rsidP="00271DCF">
      <w:pPr>
        <w:spacing w:after="0" w:line="240" w:lineRule="auto"/>
        <w:rPr>
          <w:rFonts w:ascii="Calibri" w:eastAsia="Calibri" w:hAnsi="Calibri" w:cs="Times New Roman"/>
          <w:color w:val="1F497D"/>
        </w:rPr>
      </w:pPr>
      <w:r w:rsidRPr="00271DCF">
        <w:rPr>
          <w:rFonts w:ascii="Calibri" w:eastAsia="Calibri" w:hAnsi="Calibri" w:cs="Times New Roman"/>
          <w:color w:val="1F497D"/>
        </w:rPr>
        <w:t>At Level 1: (All assessments are done in line with the UNISA Assessment Policy and the Assessment Procedures Manual.)</w:t>
      </w:r>
    </w:p>
    <w:p w:rsidR="00271DCF" w:rsidRPr="00271DCF" w:rsidRDefault="00271DCF" w:rsidP="00271DCF">
      <w:pPr>
        <w:spacing w:after="0" w:line="240" w:lineRule="auto"/>
        <w:rPr>
          <w:rFonts w:ascii="Calibri" w:eastAsia="Calibri" w:hAnsi="Calibri" w:cs="Times New Roman"/>
          <w:color w:val="1F497D"/>
        </w:rPr>
      </w:pPr>
    </w:p>
    <w:p w:rsidR="00271DCF" w:rsidRPr="00271DCF" w:rsidRDefault="00271DCF" w:rsidP="00271DCF">
      <w:pPr>
        <w:spacing w:after="0" w:line="240" w:lineRule="auto"/>
        <w:rPr>
          <w:rFonts w:ascii="Calibri" w:eastAsia="Calibri" w:hAnsi="Calibri" w:cs="Times New Roman"/>
          <w:color w:val="1F497D"/>
        </w:rPr>
      </w:pPr>
      <w:r w:rsidRPr="00271DCF">
        <w:rPr>
          <w:rFonts w:ascii="Calibri" w:eastAsia="Calibri" w:hAnsi="Calibri" w:cs="Times New Roman"/>
          <w:color w:val="1F497D"/>
        </w:rPr>
        <w:t>Formative assessment is done by means of activities in study guides, self-assessment questions in study guides and self-assessment assignments as well as written assignments that have to be submitted for assessment. The assignments are in the form of multiple-choice questions (MCQs). Students must submit at least two assignments in each module. The contribution to the semester mark of each assignment is weighted to ensure engagement and to provide an incentive to submit. The marks obtained for these assignments contribute a minimum of 20 per cent towards the final mark (100%).</w:t>
      </w:r>
    </w:p>
    <w:p w:rsidR="00271DCF" w:rsidRPr="00271DCF" w:rsidRDefault="00271DCF" w:rsidP="00271DCF">
      <w:pPr>
        <w:spacing w:after="0" w:line="240" w:lineRule="auto"/>
        <w:rPr>
          <w:rFonts w:ascii="Calibri" w:eastAsia="Calibri" w:hAnsi="Calibri" w:cs="Times New Roman"/>
          <w:color w:val="1F497D"/>
        </w:rPr>
      </w:pPr>
      <w:r w:rsidRPr="00271DCF">
        <w:rPr>
          <w:rFonts w:ascii="Calibri" w:eastAsia="Calibri" w:hAnsi="Calibri" w:cs="Times New Roman"/>
          <w:color w:val="1F497D"/>
        </w:rPr>
        <w:t xml:space="preserve">Summative assessment is in the form of a venue-based examination of two hours. Assessment is in the form of multiple-choice questions and shorter type essay questions. The examination mark contributes a maximum of 80% towards the final mark. </w:t>
      </w:r>
    </w:p>
    <w:p w:rsidR="00271DCF" w:rsidRPr="00271DCF" w:rsidRDefault="00271DCF" w:rsidP="00271DCF">
      <w:pPr>
        <w:spacing w:after="0" w:line="240" w:lineRule="auto"/>
        <w:rPr>
          <w:rFonts w:ascii="Calibri" w:eastAsia="Calibri" w:hAnsi="Calibri" w:cs="Times New Roman"/>
          <w:color w:val="1F497D"/>
        </w:rPr>
      </w:pPr>
    </w:p>
    <w:p w:rsidR="00271DCF" w:rsidRPr="00271DCF" w:rsidRDefault="00271DCF" w:rsidP="00271DCF">
      <w:pPr>
        <w:spacing w:after="0" w:line="240" w:lineRule="auto"/>
        <w:rPr>
          <w:rFonts w:ascii="Calibri" w:eastAsia="Calibri" w:hAnsi="Calibri" w:cs="Times New Roman"/>
          <w:color w:val="1F497D"/>
        </w:rPr>
      </w:pPr>
      <w:r w:rsidRPr="00271DCF">
        <w:rPr>
          <w:rFonts w:ascii="Calibri" w:eastAsia="Calibri" w:hAnsi="Calibri" w:cs="Times New Roman"/>
          <w:color w:val="1F497D"/>
        </w:rPr>
        <w:t>At Level 2: (All assessments are done in line with the UNISA Assessment Policy and the Assessment Procedures Manual.)</w:t>
      </w:r>
    </w:p>
    <w:p w:rsidR="00271DCF" w:rsidRPr="00271DCF" w:rsidRDefault="00271DCF" w:rsidP="00271DCF">
      <w:pPr>
        <w:spacing w:after="0" w:line="240" w:lineRule="auto"/>
        <w:rPr>
          <w:rFonts w:ascii="Calibri" w:eastAsia="Calibri" w:hAnsi="Calibri" w:cs="Times New Roman"/>
          <w:color w:val="1F497D"/>
        </w:rPr>
      </w:pPr>
    </w:p>
    <w:p w:rsidR="00271DCF" w:rsidRPr="00271DCF" w:rsidRDefault="00271DCF" w:rsidP="00271DCF">
      <w:pPr>
        <w:spacing w:after="0" w:line="240" w:lineRule="auto"/>
        <w:rPr>
          <w:rFonts w:ascii="Calibri" w:eastAsia="Calibri" w:hAnsi="Calibri" w:cs="Times New Roman"/>
          <w:color w:val="1F497D"/>
        </w:rPr>
      </w:pPr>
      <w:r w:rsidRPr="00271DCF">
        <w:rPr>
          <w:rFonts w:ascii="Calibri" w:eastAsia="Calibri" w:hAnsi="Calibri" w:cs="Times New Roman"/>
          <w:color w:val="1F497D"/>
        </w:rPr>
        <w:t>Formative assessment is done by means of activities in study guides, self-assessment questions in study guides and self-assessment assignments as well as written assignments that have to be submitted for assessment. The assignments are in the form of multiple-choice questions (MCQs) and essay-type questions. Students must submit at least two assignments in each module. The contribution to the semester mark of each assignment is weighted to ensure engagement and to provide an incentive to submit. The marks obtained for these assignments contribute a minimum of 20 per cent towards the final mark (100%).</w:t>
      </w:r>
    </w:p>
    <w:p w:rsidR="00271DCF" w:rsidRPr="00271DCF" w:rsidRDefault="00271DCF" w:rsidP="00271DCF">
      <w:pPr>
        <w:spacing w:after="0" w:line="240" w:lineRule="auto"/>
        <w:rPr>
          <w:rFonts w:ascii="Calibri" w:eastAsia="Calibri" w:hAnsi="Calibri" w:cs="Times New Roman"/>
          <w:color w:val="1F497D"/>
        </w:rPr>
      </w:pPr>
      <w:r w:rsidRPr="00271DCF">
        <w:rPr>
          <w:rFonts w:ascii="Calibri" w:eastAsia="Calibri" w:hAnsi="Calibri" w:cs="Times New Roman"/>
          <w:color w:val="1F497D"/>
        </w:rPr>
        <w:t>Summative assessment is in the form of a venue-based examination of two hours. Assessment is in the form of multiple-choice questions and essay-type questions. The examination mark contributes a maximum of 80% towards the final mark.</w:t>
      </w:r>
    </w:p>
    <w:p w:rsidR="00271DCF" w:rsidRPr="00271DCF" w:rsidRDefault="00271DCF" w:rsidP="00271DCF">
      <w:pPr>
        <w:spacing w:after="0" w:line="240" w:lineRule="auto"/>
        <w:rPr>
          <w:rFonts w:ascii="Calibri" w:eastAsia="Calibri" w:hAnsi="Calibri" w:cs="Times New Roman"/>
          <w:color w:val="1F497D"/>
        </w:rPr>
      </w:pPr>
    </w:p>
    <w:p w:rsidR="00271DCF" w:rsidRPr="00271DCF" w:rsidRDefault="00271DCF" w:rsidP="00271DCF">
      <w:pPr>
        <w:spacing w:after="0" w:line="240" w:lineRule="auto"/>
        <w:rPr>
          <w:rFonts w:ascii="Calibri" w:eastAsia="Calibri" w:hAnsi="Calibri" w:cs="Times New Roman"/>
          <w:color w:val="1F497D"/>
        </w:rPr>
      </w:pPr>
      <w:r w:rsidRPr="00271DCF">
        <w:rPr>
          <w:rFonts w:ascii="Calibri" w:eastAsia="Calibri" w:hAnsi="Calibri" w:cs="Times New Roman"/>
          <w:color w:val="1F497D"/>
        </w:rPr>
        <w:t>At level 3: (All assessments are done in line with the UNISA Assessment Policy and the Assessment Procedures Manual.)</w:t>
      </w:r>
    </w:p>
    <w:p w:rsidR="00271DCF" w:rsidRPr="00271DCF" w:rsidRDefault="00271DCF" w:rsidP="00271DCF">
      <w:pPr>
        <w:spacing w:after="0" w:line="240" w:lineRule="auto"/>
        <w:rPr>
          <w:rFonts w:ascii="Calibri" w:eastAsia="Calibri" w:hAnsi="Calibri" w:cs="Times New Roman"/>
          <w:color w:val="1F497D"/>
        </w:rPr>
      </w:pPr>
    </w:p>
    <w:p w:rsidR="00271DCF" w:rsidRPr="00271DCF" w:rsidRDefault="00271DCF" w:rsidP="00271DCF">
      <w:pPr>
        <w:spacing w:after="0" w:line="240" w:lineRule="auto"/>
        <w:rPr>
          <w:rFonts w:ascii="Calibri" w:eastAsia="Calibri" w:hAnsi="Calibri" w:cs="Times New Roman"/>
          <w:color w:val="1F497D"/>
        </w:rPr>
      </w:pPr>
      <w:r w:rsidRPr="00271DCF">
        <w:rPr>
          <w:rFonts w:ascii="Calibri" w:eastAsia="Calibri" w:hAnsi="Calibri" w:cs="Times New Roman"/>
          <w:color w:val="1F497D"/>
        </w:rPr>
        <w:t xml:space="preserve">Formative assessment is done by means of activities in study guides, self-assessment questions in study guides and self-assessment assignments as well as written assignments that have to be submitted for assessment. The assignments are in the form of multiple-choice questions (MCQs). </w:t>
      </w:r>
      <w:r w:rsidRPr="00271DCF">
        <w:rPr>
          <w:rFonts w:ascii="Calibri" w:eastAsia="Calibri" w:hAnsi="Calibri" w:cs="Times New Roman"/>
          <w:color w:val="1F497D"/>
        </w:rPr>
        <w:lastRenderedPageBreak/>
        <w:t>Students must submit at least two assignments in each module. The contribution to the semester mark of each assignment is weighted to ensure engagement and to provide an incentive to submit. The marks obtained for these assignments contribute a minimum of 20 per cent towards the final mark (100%).</w:t>
      </w:r>
    </w:p>
    <w:p w:rsidR="00271DCF" w:rsidRPr="00271DCF" w:rsidRDefault="00271DCF" w:rsidP="00271DCF">
      <w:pPr>
        <w:spacing w:after="0" w:line="240" w:lineRule="auto"/>
        <w:rPr>
          <w:rFonts w:ascii="Calibri" w:eastAsia="Calibri" w:hAnsi="Calibri" w:cs="Times New Roman"/>
          <w:color w:val="1F497D"/>
        </w:rPr>
      </w:pPr>
      <w:r w:rsidRPr="00271DCF">
        <w:rPr>
          <w:rFonts w:ascii="Calibri" w:eastAsia="Calibri" w:hAnsi="Calibri" w:cs="Times New Roman"/>
          <w:color w:val="1F497D"/>
        </w:rPr>
        <w:t>Summative assessment is in the form of a venue-based examination of two hours. Assessment is in the form of short and longer essay-type questions. The examination mark contributes a maximum of 80% towards the final mark.</w:t>
      </w:r>
    </w:p>
    <w:p w:rsidR="00271DCF" w:rsidRPr="007D57F6" w:rsidRDefault="00271DCF" w:rsidP="007D57F6"/>
    <w:sectPr w:rsidR="00271DCF" w:rsidRPr="007D57F6" w:rsidSect="00FF5DC9">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46EA4"/>
    <w:multiLevelType w:val="hybridMultilevel"/>
    <w:tmpl w:val="9EF46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DC9"/>
    <w:rsid w:val="00271DCF"/>
    <w:rsid w:val="003318E7"/>
    <w:rsid w:val="007D57F6"/>
    <w:rsid w:val="007E3F15"/>
    <w:rsid w:val="00FF5DC9"/>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7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54313">
      <w:bodyDiv w:val="1"/>
      <w:marLeft w:val="0"/>
      <w:marRight w:val="0"/>
      <w:marTop w:val="0"/>
      <w:marBottom w:val="0"/>
      <w:divBdr>
        <w:top w:val="none" w:sz="0" w:space="0" w:color="auto"/>
        <w:left w:val="none" w:sz="0" w:space="0" w:color="auto"/>
        <w:bottom w:val="none" w:sz="0" w:space="0" w:color="auto"/>
        <w:right w:val="none" w:sz="0" w:space="0" w:color="auto"/>
      </w:divBdr>
    </w:div>
    <w:div w:id="68108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6</cp:revision>
  <dcterms:created xsi:type="dcterms:W3CDTF">2015-04-01T08:29:00Z</dcterms:created>
  <dcterms:modified xsi:type="dcterms:W3CDTF">2015-04-07T06:56:00Z</dcterms:modified>
</cp:coreProperties>
</file>